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26BBB" w14:textId="77777777" w:rsidR="00413DA6" w:rsidRPr="00A447A6" w:rsidRDefault="007A5F13" w:rsidP="00413DA6">
      <w:pPr>
        <w:pStyle w:val="PolicyName"/>
      </w:pPr>
      <w:bookmarkStart w:id="0" w:name="_GoBack"/>
      <w:r w:rsidRPr="00A447A6">
        <w:t xml:space="preserve">GIFTS </w:t>
      </w:r>
      <w:r w:rsidR="00ED4949" w:rsidRPr="00A447A6">
        <w:t>&amp; conflicts of interest</w:t>
      </w:r>
      <w:r w:rsidR="00413DA6" w:rsidRPr="00A447A6">
        <w:t xml:space="preserve"> – EMPLOYEES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A447A6" w:rsidRPr="00A447A6" w14:paraId="7B44DF0E" w14:textId="77777777" w:rsidTr="00725A03">
        <w:tc>
          <w:tcPr>
            <w:tcW w:w="1980" w:type="dxa"/>
          </w:tcPr>
          <w:bookmarkEnd w:id="0"/>
          <w:p w14:paraId="1BBBCA9D" w14:textId="77777777" w:rsidR="00725A03" w:rsidRPr="00A447A6" w:rsidRDefault="00725A03" w:rsidP="00694675">
            <w:pPr>
              <w:pStyle w:val="PolicyHeadingTableKey"/>
            </w:pPr>
            <w:r w:rsidRPr="00A447A6">
              <w:t>Policy number</w:t>
            </w:r>
          </w:p>
        </w:tc>
        <w:tc>
          <w:tcPr>
            <w:tcW w:w="7030" w:type="dxa"/>
          </w:tcPr>
          <w:p w14:paraId="0E58AF2C" w14:textId="3EE3D777" w:rsidR="00725A03" w:rsidRPr="00A447A6" w:rsidRDefault="003C19A8" w:rsidP="00725A03">
            <w:pPr>
              <w:pStyle w:val="PolicyHeadingTableValue"/>
            </w:pPr>
            <w:r w:rsidRPr="00A447A6">
              <w:t>Draft</w:t>
            </w:r>
          </w:p>
        </w:tc>
      </w:tr>
      <w:tr w:rsidR="00725A03" w:rsidRPr="00A447A6" w14:paraId="09FC0546" w14:textId="77777777" w:rsidTr="00725A03">
        <w:tc>
          <w:tcPr>
            <w:tcW w:w="1980" w:type="dxa"/>
          </w:tcPr>
          <w:p w14:paraId="1C2E2582" w14:textId="77777777" w:rsidR="00725A03" w:rsidRPr="00A447A6" w:rsidRDefault="00725A03" w:rsidP="00694675">
            <w:pPr>
              <w:pStyle w:val="PolicyHeadingTableKey"/>
            </w:pPr>
            <w:r w:rsidRPr="00A447A6">
              <w:t>Effective from</w:t>
            </w:r>
          </w:p>
        </w:tc>
        <w:tc>
          <w:tcPr>
            <w:tcW w:w="7030" w:type="dxa"/>
          </w:tcPr>
          <w:p w14:paraId="3161A4CC" w14:textId="4E72398D" w:rsidR="00725A03" w:rsidRPr="00A447A6" w:rsidRDefault="003C19A8" w:rsidP="00725A03">
            <w:pPr>
              <w:pStyle w:val="PolicyHeadingTableValue"/>
            </w:pPr>
            <w:r w:rsidRPr="00A447A6">
              <w:t>September 2021</w:t>
            </w:r>
          </w:p>
        </w:tc>
      </w:tr>
    </w:tbl>
    <w:p w14:paraId="2462F5C5" w14:textId="77777777" w:rsidR="00725A03" w:rsidRPr="00A447A6" w:rsidRDefault="00725A03" w:rsidP="006D2E58"/>
    <w:p w14:paraId="037B47E8" w14:textId="77777777" w:rsidR="0001673F" w:rsidRPr="00A447A6" w:rsidRDefault="00C8593A" w:rsidP="009E5400">
      <w:pPr>
        <w:pStyle w:val="PolicyHeading1UnnumberedBody"/>
      </w:pPr>
      <w:r w:rsidRPr="00A447A6">
        <w:t>AIM</w:t>
      </w:r>
    </w:p>
    <w:p w14:paraId="2B8251BF" w14:textId="20D8C456" w:rsidR="008A3035" w:rsidRPr="00A447A6" w:rsidRDefault="007A5F13" w:rsidP="008A3035">
      <w:pPr>
        <w:pStyle w:val="PolicyBodyUnnumbered"/>
        <w:numPr>
          <w:ilvl w:val="0"/>
          <w:numId w:val="0"/>
        </w:numPr>
        <w:spacing w:line="276" w:lineRule="auto"/>
        <w:ind w:left="357" w:firstLine="3"/>
        <w:jc w:val="both"/>
      </w:pPr>
      <w:r w:rsidRPr="00A447A6">
        <w:t>To provide guidance for employees about what is and is not appropriate to accept as a gift</w:t>
      </w:r>
      <w:r w:rsidR="00ED4949" w:rsidRPr="00A447A6">
        <w:t xml:space="preserve"> and identify a conflict of interest</w:t>
      </w:r>
      <w:r w:rsidR="001F0F77" w:rsidRPr="00A447A6">
        <w:t>, actual and potential.</w:t>
      </w:r>
    </w:p>
    <w:p w14:paraId="4186C449" w14:textId="77777777" w:rsidR="00E77AD1" w:rsidRPr="00A447A6" w:rsidRDefault="0001673F" w:rsidP="005D48EC">
      <w:pPr>
        <w:pStyle w:val="PolicyHeading1UnnumberedBody"/>
        <w:spacing w:line="276" w:lineRule="auto"/>
      </w:pPr>
      <w:r w:rsidRPr="00A447A6">
        <w:t>s</w:t>
      </w:r>
      <w:r w:rsidR="006F59FD" w:rsidRPr="00A447A6">
        <w:t>COPE</w:t>
      </w:r>
    </w:p>
    <w:p w14:paraId="6A24EB53" w14:textId="1F5DAF5F" w:rsidR="007306F0" w:rsidRPr="00A447A6" w:rsidRDefault="007A5F13" w:rsidP="007A5F13">
      <w:pPr>
        <w:pStyle w:val="PolicyBodyUnnumbered"/>
        <w:numPr>
          <w:ilvl w:val="0"/>
          <w:numId w:val="0"/>
        </w:numPr>
        <w:spacing w:line="276" w:lineRule="auto"/>
        <w:ind w:left="717" w:hanging="357"/>
      </w:pPr>
      <w:r w:rsidRPr="00A447A6">
        <w:t>Applies to all employees</w:t>
      </w:r>
      <w:r w:rsidR="00767BF8" w:rsidRPr="00A447A6">
        <w:t>.</w:t>
      </w:r>
      <w:r w:rsidRPr="00A447A6">
        <w:t xml:space="preserve"> </w:t>
      </w:r>
    </w:p>
    <w:p w14:paraId="2564C1F2" w14:textId="77777777" w:rsidR="0001673F" w:rsidRPr="00A447A6" w:rsidRDefault="006F59FD" w:rsidP="007A5F13">
      <w:pPr>
        <w:pStyle w:val="PolicyHeading1NumberedBody"/>
        <w:spacing w:line="276" w:lineRule="auto"/>
      </w:pPr>
      <w:r w:rsidRPr="00A447A6">
        <w:t>DEFINITION</w:t>
      </w:r>
    </w:p>
    <w:p w14:paraId="25711EE2" w14:textId="77777777" w:rsidR="007A5F13" w:rsidRPr="00A447A6" w:rsidRDefault="007A5F13" w:rsidP="007A5F13">
      <w:pPr>
        <w:spacing w:line="276" w:lineRule="auto"/>
        <w:rPr>
          <w:sz w:val="16"/>
          <w:szCs w:val="16"/>
        </w:rPr>
      </w:pPr>
    </w:p>
    <w:p w14:paraId="7FBA7FE4" w14:textId="50587299" w:rsidR="00ED4949" w:rsidRPr="00A447A6" w:rsidRDefault="00ED4949" w:rsidP="007A5F13">
      <w:pPr>
        <w:spacing w:line="276" w:lineRule="auto"/>
        <w:ind w:left="360"/>
        <w:rPr>
          <w:rFonts w:ascii="Arial" w:hAnsi="Arial" w:cs="Arial"/>
        </w:rPr>
      </w:pPr>
      <w:r w:rsidRPr="00A447A6">
        <w:rPr>
          <w:rFonts w:ascii="Arial" w:hAnsi="Arial" w:cs="Arial"/>
        </w:rPr>
        <w:t xml:space="preserve">Business Associate - an external individual or entity </w:t>
      </w:r>
      <w:r w:rsidR="00DF48DB" w:rsidRPr="00A447A6">
        <w:rPr>
          <w:rFonts w:ascii="Arial" w:hAnsi="Arial" w:cs="Arial"/>
        </w:rPr>
        <w:t>that the organisation has, or plans to establish, some form of business relationship, or may seek commercial or other advantage by offering gifts, benefits,</w:t>
      </w:r>
      <w:r w:rsidRPr="00A447A6">
        <w:rPr>
          <w:rFonts w:ascii="Arial" w:hAnsi="Arial" w:cs="Arial"/>
        </w:rPr>
        <w:t xml:space="preserve"> or hospitality.</w:t>
      </w:r>
    </w:p>
    <w:p w14:paraId="30C94C15" w14:textId="77777777" w:rsidR="00ED4949" w:rsidRPr="00A447A6" w:rsidRDefault="00ED4949" w:rsidP="007A5F13">
      <w:pPr>
        <w:spacing w:line="276" w:lineRule="auto"/>
        <w:ind w:left="360"/>
        <w:rPr>
          <w:rFonts w:ascii="Arial" w:hAnsi="Arial" w:cs="Arial"/>
          <w:sz w:val="16"/>
          <w:szCs w:val="16"/>
        </w:rPr>
      </w:pPr>
    </w:p>
    <w:p w14:paraId="35789E04" w14:textId="38D1306C" w:rsidR="007A5F13" w:rsidRPr="00A447A6" w:rsidRDefault="00ED4949" w:rsidP="007A5F13">
      <w:pPr>
        <w:spacing w:line="276" w:lineRule="auto"/>
        <w:ind w:left="360"/>
        <w:rPr>
          <w:rFonts w:ascii="Arial" w:hAnsi="Arial" w:cs="Arial"/>
        </w:rPr>
      </w:pPr>
      <w:r w:rsidRPr="00A447A6">
        <w:rPr>
          <w:rFonts w:ascii="Arial" w:hAnsi="Arial" w:cs="Arial"/>
        </w:rPr>
        <w:t>Benefit</w:t>
      </w:r>
      <w:r w:rsidR="007A5F13" w:rsidRPr="00A447A6">
        <w:rPr>
          <w:rFonts w:ascii="Arial" w:hAnsi="Arial" w:cs="Arial"/>
        </w:rPr>
        <w:t xml:space="preserve"> - </w:t>
      </w:r>
      <w:r w:rsidRPr="00A447A6">
        <w:rPr>
          <w:rFonts w:ascii="Arial" w:hAnsi="Arial" w:cs="Arial"/>
        </w:rPr>
        <w:t>includes preferential treatment, privileged access, favours or other advantage offered to an individual. They may include invitations to sporting, cultural or social events, access to discounts and loyalty programs, and promises of a new job. The value of benefits may be difficult to define in dollars, but as the</w:t>
      </w:r>
      <w:r w:rsidR="00DF48DB" w:rsidRPr="00A447A6">
        <w:rPr>
          <w:rFonts w:ascii="Arial" w:hAnsi="Arial" w:cs="Arial"/>
        </w:rPr>
        <w:t xml:space="preserve"> individual values them</w:t>
      </w:r>
      <w:r w:rsidRPr="00A447A6">
        <w:rPr>
          <w:rFonts w:ascii="Arial" w:hAnsi="Arial" w:cs="Arial"/>
        </w:rPr>
        <w:t xml:space="preserve">, they may be used to influence the individual’s behaviour. </w:t>
      </w:r>
    </w:p>
    <w:p w14:paraId="6F52D7DE" w14:textId="77777777" w:rsidR="00282321" w:rsidRPr="00A447A6" w:rsidRDefault="00282321" w:rsidP="007A5F13">
      <w:pPr>
        <w:spacing w:line="276" w:lineRule="auto"/>
        <w:ind w:left="360"/>
        <w:rPr>
          <w:rFonts w:ascii="Arial" w:hAnsi="Arial" w:cs="Arial"/>
          <w:sz w:val="16"/>
          <w:szCs w:val="16"/>
        </w:rPr>
      </w:pPr>
    </w:p>
    <w:p w14:paraId="58304660" w14:textId="77777777" w:rsidR="00282321" w:rsidRPr="00A447A6" w:rsidRDefault="00282321" w:rsidP="00282321">
      <w:pPr>
        <w:spacing w:line="276" w:lineRule="auto"/>
        <w:ind w:left="360"/>
        <w:rPr>
          <w:rFonts w:ascii="Arial" w:hAnsi="Arial" w:cs="Arial"/>
        </w:rPr>
      </w:pPr>
      <w:r w:rsidRPr="00A447A6">
        <w:rPr>
          <w:rFonts w:ascii="Arial" w:hAnsi="Arial" w:cs="Arial"/>
        </w:rPr>
        <w:t xml:space="preserve">Gift - </w:t>
      </w:r>
      <w:r w:rsidR="00DA40AB" w:rsidRPr="00A447A6">
        <w:rPr>
          <w:rFonts w:ascii="Arial" w:hAnsi="Arial" w:cs="Arial"/>
        </w:rPr>
        <w:t xml:space="preserve">The transfer of an item or </w:t>
      </w:r>
      <w:r w:rsidRPr="00A447A6">
        <w:rPr>
          <w:rFonts w:ascii="Arial" w:hAnsi="Arial" w:cs="Arial"/>
        </w:rPr>
        <w:t>property from one individual to another made g</w:t>
      </w:r>
      <w:r w:rsidR="00DA40AB" w:rsidRPr="00A447A6">
        <w:rPr>
          <w:rFonts w:ascii="Arial" w:hAnsi="Arial" w:cs="Arial"/>
        </w:rPr>
        <w:t>ratuitously to the recipient.</w:t>
      </w:r>
    </w:p>
    <w:p w14:paraId="4F08ABEA" w14:textId="77777777" w:rsidR="00ED4949" w:rsidRPr="00A447A6" w:rsidRDefault="00ED4949" w:rsidP="00ED4949">
      <w:pPr>
        <w:pStyle w:val="PolicyBodyNumbered"/>
        <w:numPr>
          <w:ilvl w:val="0"/>
          <w:numId w:val="0"/>
        </w:numPr>
        <w:spacing w:line="276" w:lineRule="auto"/>
        <w:ind w:left="360"/>
      </w:pPr>
      <w:r w:rsidRPr="00A447A6">
        <w:t>Conflict of Interest (Actual) - there is a real conflict between an employee’s paid duties and private interests.</w:t>
      </w:r>
    </w:p>
    <w:p w14:paraId="1AB7FE16" w14:textId="4C3B65E4" w:rsidR="00ED4949" w:rsidRPr="00A447A6" w:rsidRDefault="00ED4949" w:rsidP="00282321">
      <w:pPr>
        <w:pStyle w:val="PolicyBodyNumbered"/>
        <w:numPr>
          <w:ilvl w:val="0"/>
          <w:numId w:val="0"/>
        </w:numPr>
        <w:spacing w:line="276" w:lineRule="auto"/>
        <w:ind w:left="360"/>
      </w:pPr>
      <w:r w:rsidRPr="00A447A6">
        <w:t xml:space="preserve">Conflict of Interest (Potential) - </w:t>
      </w:r>
      <w:r w:rsidR="00282321" w:rsidRPr="00A447A6">
        <w:t>an employee has private interests that conflict with their paid duties. It is foreseeable that a conflict may arise in the future</w:t>
      </w:r>
      <w:r w:rsidR="00DF48DB" w:rsidRPr="00A447A6">
        <w:t>,</w:t>
      </w:r>
      <w:r w:rsidR="00282321" w:rsidRPr="00A447A6">
        <w:t xml:space="preserve"> and steps should be taken now to mitigate that future risk which could improperly influence their decisions or actions, now or in the future.</w:t>
      </w:r>
    </w:p>
    <w:p w14:paraId="1F9B4FCF" w14:textId="77777777" w:rsidR="0050294B" w:rsidRPr="00A447A6" w:rsidRDefault="00DA40AB" w:rsidP="00DA40AB">
      <w:pPr>
        <w:pStyle w:val="PolicyBodyNumbered"/>
        <w:numPr>
          <w:ilvl w:val="0"/>
          <w:numId w:val="0"/>
        </w:numPr>
        <w:spacing w:line="276" w:lineRule="auto"/>
        <w:ind w:left="360"/>
      </w:pPr>
      <w:r w:rsidRPr="00A447A6">
        <w:t>Legitimate Business - gifts, benefits and hospitality accepted or provided for a business purpose, in that it furthers the conduct of official business or other legitimate goals of the organisation.</w:t>
      </w:r>
    </w:p>
    <w:p w14:paraId="24518C6C" w14:textId="77777777" w:rsidR="00DA40AB" w:rsidRPr="00A447A6" w:rsidRDefault="00DA40AB" w:rsidP="00DA40AB">
      <w:pPr>
        <w:pStyle w:val="PolicyBodyNumbered"/>
        <w:numPr>
          <w:ilvl w:val="0"/>
          <w:numId w:val="0"/>
        </w:numPr>
        <w:spacing w:line="276" w:lineRule="auto"/>
        <w:ind w:left="360"/>
      </w:pPr>
      <w:r w:rsidRPr="00A447A6">
        <w:t xml:space="preserve">Token Offer - is an offer of a gift, benefit or hospitality that is of inconsequential or trivial value to both the person making the </w:t>
      </w:r>
      <w:r w:rsidR="00E6798E" w:rsidRPr="00A447A6">
        <w:t>offer and the individual. I</w:t>
      </w:r>
      <w:r w:rsidRPr="00A447A6">
        <w:t>t cannot be worth more than $50 (including cumulative offers from the same source over a 12 month period).</w:t>
      </w:r>
    </w:p>
    <w:p w14:paraId="6784C501" w14:textId="77777777" w:rsidR="00E6798E" w:rsidRPr="00A447A6" w:rsidRDefault="00E6798E" w:rsidP="00DA40AB">
      <w:pPr>
        <w:pStyle w:val="PolicyBodyNumbered"/>
        <w:numPr>
          <w:ilvl w:val="0"/>
          <w:numId w:val="0"/>
        </w:numPr>
        <w:spacing w:line="276" w:lineRule="auto"/>
        <w:ind w:left="360"/>
      </w:pPr>
      <w:r w:rsidRPr="00A447A6">
        <w:t xml:space="preserve">Non-Token Offer - is an offer of a gift, benefit or hospitality that is, or may be perceived to be by the recipient or the person making the offer of more than inconsequential value. </w:t>
      </w:r>
    </w:p>
    <w:p w14:paraId="6B8692EC" w14:textId="77777777" w:rsidR="006D2E58" w:rsidRPr="00A447A6" w:rsidRDefault="006F59FD" w:rsidP="007A5F13">
      <w:pPr>
        <w:pStyle w:val="PolicyHeading1NumberedBody"/>
        <w:spacing w:line="360" w:lineRule="auto"/>
      </w:pPr>
      <w:r w:rsidRPr="00A447A6">
        <w:lastRenderedPageBreak/>
        <w:t>POLICY</w:t>
      </w:r>
    </w:p>
    <w:p w14:paraId="24BF6697" w14:textId="326FB904" w:rsidR="007306F0" w:rsidRPr="00A447A6" w:rsidRDefault="006D61B5" w:rsidP="007A5F13">
      <w:pPr>
        <w:spacing w:line="276" w:lineRule="auto"/>
        <w:ind w:left="360"/>
        <w:rPr>
          <w:rFonts w:ascii="Arial" w:hAnsi="Arial" w:cs="Arial"/>
        </w:rPr>
      </w:pPr>
      <w:r w:rsidRPr="00A447A6">
        <w:rPr>
          <w:rFonts w:ascii="Arial" w:hAnsi="Arial" w:cs="Arial"/>
        </w:rPr>
        <w:t xml:space="preserve">4.1 </w:t>
      </w:r>
      <w:r w:rsidR="008F7FAB" w:rsidRPr="00A447A6">
        <w:rPr>
          <w:rFonts w:ascii="Arial" w:hAnsi="Arial" w:cs="Arial"/>
        </w:rPr>
        <w:t>FLINTWOOD employees</w:t>
      </w:r>
      <w:r w:rsidR="004A1B52" w:rsidRPr="00A447A6">
        <w:rPr>
          <w:rFonts w:ascii="Arial" w:hAnsi="Arial" w:cs="Arial"/>
        </w:rPr>
        <w:t xml:space="preserve"> in relation t</w:t>
      </w:r>
      <w:r w:rsidR="00767BF8" w:rsidRPr="00A447A6">
        <w:rPr>
          <w:rFonts w:ascii="Arial" w:hAnsi="Arial" w:cs="Arial"/>
        </w:rPr>
        <w:t>o gifts and benefits</w:t>
      </w:r>
      <w:r w:rsidR="008F7FAB" w:rsidRPr="00A447A6">
        <w:rPr>
          <w:rFonts w:ascii="Arial" w:hAnsi="Arial" w:cs="Arial"/>
        </w:rPr>
        <w:t xml:space="preserve"> must:</w:t>
      </w:r>
    </w:p>
    <w:p w14:paraId="5DCF7643" w14:textId="258BCE1E" w:rsidR="008F7FAB" w:rsidRPr="00A447A6" w:rsidRDefault="00767BF8" w:rsidP="008F7FAB">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 xml:space="preserve">not solicit gift or benefits </w:t>
      </w:r>
    </w:p>
    <w:p w14:paraId="7AF8C626" w14:textId="39DBEEA8" w:rsidR="008F7FAB" w:rsidRPr="00A447A6" w:rsidRDefault="008F7FAB" w:rsidP="008F7FAB">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refuse all offers o</w:t>
      </w:r>
      <w:r w:rsidR="00767BF8" w:rsidRPr="00A447A6">
        <w:rPr>
          <w:rFonts w:ascii="Arial" w:hAnsi="Arial" w:cs="Arial"/>
          <w:sz w:val="24"/>
          <w:szCs w:val="24"/>
        </w:rPr>
        <w:t>f gifts and benefits</w:t>
      </w:r>
      <w:r w:rsidRPr="00A447A6">
        <w:rPr>
          <w:rFonts w:ascii="Arial" w:hAnsi="Arial" w:cs="Arial"/>
          <w:sz w:val="24"/>
          <w:szCs w:val="24"/>
        </w:rPr>
        <w:t xml:space="preserve"> where acceptance would create an obligation to the donor</w:t>
      </w:r>
      <w:r w:rsidR="003C6BEF" w:rsidRPr="00A447A6">
        <w:rPr>
          <w:rFonts w:ascii="Arial" w:hAnsi="Arial" w:cs="Arial"/>
          <w:sz w:val="24"/>
          <w:szCs w:val="24"/>
        </w:rPr>
        <w:t xml:space="preserve"> or business associate</w:t>
      </w:r>
      <w:r w:rsidR="00767BF8" w:rsidRPr="00A447A6">
        <w:rPr>
          <w:rFonts w:ascii="Arial" w:hAnsi="Arial" w:cs="Arial"/>
          <w:sz w:val="24"/>
          <w:szCs w:val="24"/>
        </w:rPr>
        <w:t xml:space="preserve"> </w:t>
      </w:r>
    </w:p>
    <w:p w14:paraId="34D68988" w14:textId="16206D23" w:rsidR="000F005E" w:rsidRPr="00A447A6" w:rsidRDefault="000F005E" w:rsidP="008F7FAB">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declare all non-token</w:t>
      </w:r>
      <w:r w:rsidR="00767BF8" w:rsidRPr="00A447A6">
        <w:rPr>
          <w:rFonts w:ascii="Arial" w:hAnsi="Arial" w:cs="Arial"/>
          <w:sz w:val="24"/>
          <w:szCs w:val="24"/>
        </w:rPr>
        <w:t xml:space="preserve"> gifts, gifts and benefits</w:t>
      </w:r>
      <w:r w:rsidRPr="00A447A6">
        <w:rPr>
          <w:rFonts w:ascii="Arial" w:hAnsi="Arial" w:cs="Arial"/>
          <w:sz w:val="24"/>
          <w:szCs w:val="24"/>
        </w:rPr>
        <w:t xml:space="preserve"> offered and accepted </w:t>
      </w:r>
      <w:r w:rsidR="00721B90" w:rsidRPr="00A447A6">
        <w:rPr>
          <w:rFonts w:ascii="Arial" w:hAnsi="Arial" w:cs="Arial"/>
          <w:sz w:val="24"/>
          <w:szCs w:val="24"/>
        </w:rPr>
        <w:t>to HR</w:t>
      </w:r>
    </w:p>
    <w:p w14:paraId="2566E546" w14:textId="0843B19B" w:rsidR="00450958" w:rsidRPr="00A447A6" w:rsidRDefault="000F005E" w:rsidP="008F7FAB">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declare an actual or potential conflict of interest at the earliest point in time of it being identified</w:t>
      </w:r>
      <w:r w:rsidR="00BB3DE0" w:rsidRPr="00A447A6">
        <w:rPr>
          <w:rFonts w:ascii="Arial" w:hAnsi="Arial" w:cs="Arial"/>
          <w:sz w:val="24"/>
          <w:szCs w:val="24"/>
        </w:rPr>
        <w:t xml:space="preserve">. </w:t>
      </w:r>
    </w:p>
    <w:p w14:paraId="7776711D" w14:textId="7AF0F068" w:rsidR="00173FE8" w:rsidRPr="00A447A6" w:rsidRDefault="00173FE8" w:rsidP="008F7FAB">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ensure that</w:t>
      </w:r>
      <w:r w:rsidR="00767BF8" w:rsidRPr="00A447A6">
        <w:rPr>
          <w:rFonts w:ascii="Arial" w:hAnsi="Arial" w:cs="Arial"/>
          <w:sz w:val="24"/>
          <w:szCs w:val="24"/>
        </w:rPr>
        <w:t xml:space="preserve"> gifts and benefits</w:t>
      </w:r>
      <w:r w:rsidRPr="00A447A6">
        <w:rPr>
          <w:rFonts w:ascii="Arial" w:hAnsi="Arial" w:cs="Arial"/>
          <w:sz w:val="24"/>
          <w:szCs w:val="24"/>
        </w:rPr>
        <w:t xml:space="preserve"> are within reason of legitimate business</w:t>
      </w:r>
      <w:r w:rsidR="00895074" w:rsidRPr="00A447A6">
        <w:rPr>
          <w:rFonts w:ascii="Arial" w:hAnsi="Arial" w:cs="Arial"/>
          <w:sz w:val="24"/>
          <w:szCs w:val="24"/>
        </w:rPr>
        <w:t xml:space="preserve"> and of acceptable standards. This includes lunch provided for day long meetings, tea and coffee and morning tea, dinner for evening meetings. It may also mean a gift of appreciation given retrospective for things including length of service, outstanding work or volunteering</w:t>
      </w:r>
    </w:p>
    <w:p w14:paraId="15DE58B4" w14:textId="77777777" w:rsidR="000F005E" w:rsidRPr="00A447A6" w:rsidRDefault="000F005E" w:rsidP="000F005E">
      <w:pPr>
        <w:pStyle w:val="ListParagraph"/>
        <w:spacing w:line="276" w:lineRule="auto"/>
        <w:ind w:left="1440"/>
        <w:rPr>
          <w:rFonts w:ascii="Arial" w:hAnsi="Arial" w:cs="Arial"/>
          <w:sz w:val="24"/>
          <w:szCs w:val="24"/>
        </w:rPr>
      </w:pPr>
    </w:p>
    <w:p w14:paraId="0DFDABEA" w14:textId="195D53DE" w:rsidR="00450958" w:rsidRPr="00A447A6" w:rsidRDefault="00450958" w:rsidP="00450958">
      <w:pPr>
        <w:spacing w:line="276" w:lineRule="auto"/>
        <w:ind w:left="330"/>
        <w:rPr>
          <w:rFonts w:ascii="Arial" w:hAnsi="Arial" w:cs="Arial"/>
        </w:rPr>
      </w:pPr>
      <w:r w:rsidRPr="00A447A6">
        <w:rPr>
          <w:rFonts w:ascii="Arial" w:hAnsi="Arial" w:cs="Arial"/>
        </w:rPr>
        <w:t xml:space="preserve">4.2 FLINTWOOD employees in relation to private arrangements with </w:t>
      </w:r>
      <w:r w:rsidR="00767BF8" w:rsidRPr="00A447A6">
        <w:rPr>
          <w:rFonts w:ascii="Arial" w:hAnsi="Arial" w:cs="Arial"/>
        </w:rPr>
        <w:t>Participants, families and C</w:t>
      </w:r>
      <w:r w:rsidRPr="00A447A6">
        <w:rPr>
          <w:rFonts w:ascii="Arial" w:hAnsi="Arial" w:cs="Arial"/>
        </w:rPr>
        <w:t>arers must:</w:t>
      </w:r>
    </w:p>
    <w:p w14:paraId="57B8DE2A" w14:textId="77777777" w:rsidR="00450958" w:rsidRPr="00A447A6" w:rsidRDefault="000F005E" w:rsidP="008F7FAB">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declare any private work arrangements with Human Resources</w:t>
      </w:r>
    </w:p>
    <w:p w14:paraId="6A2FC6E6" w14:textId="2B8307B9" w:rsidR="00450958" w:rsidRPr="00A447A6" w:rsidRDefault="000F005E" w:rsidP="008F7FAB">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 xml:space="preserve">not use their position at FLINTWOOD as a leverage to acquire financial gain through private working arrangements with </w:t>
      </w:r>
      <w:r w:rsidR="00767BF8" w:rsidRPr="00A447A6">
        <w:rPr>
          <w:rFonts w:ascii="Arial" w:hAnsi="Arial" w:cs="Arial"/>
          <w:sz w:val="24"/>
          <w:szCs w:val="24"/>
        </w:rPr>
        <w:t>Participants, families or C</w:t>
      </w:r>
      <w:r w:rsidRPr="00A447A6">
        <w:rPr>
          <w:rFonts w:ascii="Arial" w:hAnsi="Arial" w:cs="Arial"/>
          <w:sz w:val="24"/>
          <w:szCs w:val="24"/>
        </w:rPr>
        <w:t>arers</w:t>
      </w:r>
    </w:p>
    <w:p w14:paraId="45EE56FF" w14:textId="77777777" w:rsidR="00450958" w:rsidRPr="00A447A6" w:rsidRDefault="000F005E" w:rsidP="008F7FAB">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not use FLINTWOOD resources to access information in order to establish and / or maintain any private arrangements</w:t>
      </w:r>
    </w:p>
    <w:p w14:paraId="638C4EA0" w14:textId="3BDE1599" w:rsidR="00450958" w:rsidRPr="00A447A6" w:rsidRDefault="000F005E" w:rsidP="008F7FAB">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 xml:space="preserve">not solicit for private work arrangements with the </w:t>
      </w:r>
      <w:r w:rsidR="00767BF8" w:rsidRPr="00A447A6">
        <w:rPr>
          <w:rFonts w:ascii="Arial" w:hAnsi="Arial" w:cs="Arial"/>
          <w:sz w:val="24"/>
          <w:szCs w:val="24"/>
        </w:rPr>
        <w:t>Participants,  families or C</w:t>
      </w:r>
      <w:r w:rsidRPr="00A447A6">
        <w:rPr>
          <w:rFonts w:ascii="Arial" w:hAnsi="Arial" w:cs="Arial"/>
          <w:sz w:val="24"/>
          <w:szCs w:val="24"/>
        </w:rPr>
        <w:t>arers during the hours of employment, nor at any of the organisations sites</w:t>
      </w:r>
    </w:p>
    <w:p w14:paraId="18B12FBC" w14:textId="1BFD374E" w:rsidR="00F84957" w:rsidRPr="00A447A6" w:rsidRDefault="00F84957" w:rsidP="00F84957">
      <w:pPr>
        <w:pStyle w:val="ListParagraph"/>
        <w:numPr>
          <w:ilvl w:val="0"/>
          <w:numId w:val="22"/>
        </w:numPr>
        <w:spacing w:line="276" w:lineRule="auto"/>
        <w:rPr>
          <w:rFonts w:ascii="Arial" w:hAnsi="Arial" w:cs="Arial"/>
          <w:sz w:val="24"/>
          <w:szCs w:val="24"/>
        </w:rPr>
      </w:pPr>
      <w:r w:rsidRPr="00A447A6">
        <w:rPr>
          <w:rFonts w:ascii="Arial" w:hAnsi="Arial" w:cs="Arial"/>
          <w:sz w:val="24"/>
          <w:szCs w:val="24"/>
        </w:rPr>
        <w:t xml:space="preserve">not support any employee in their private working arrangements with FLINTWOOD </w:t>
      </w:r>
      <w:r w:rsidR="00767BF8" w:rsidRPr="00A447A6">
        <w:rPr>
          <w:rFonts w:ascii="Arial" w:hAnsi="Arial" w:cs="Arial"/>
          <w:sz w:val="24"/>
          <w:szCs w:val="24"/>
        </w:rPr>
        <w:t>Participants</w:t>
      </w:r>
      <w:r w:rsidRPr="00A447A6">
        <w:rPr>
          <w:rFonts w:ascii="Arial" w:hAnsi="Arial" w:cs="Arial"/>
          <w:sz w:val="24"/>
          <w:szCs w:val="24"/>
        </w:rPr>
        <w:t>, family or carers and it may result in a review of the employee’s contract</w:t>
      </w:r>
    </w:p>
    <w:p w14:paraId="60811071" w14:textId="77777777" w:rsidR="009B497C" w:rsidRPr="00A447A6" w:rsidRDefault="009B497C" w:rsidP="009B497C">
      <w:pPr>
        <w:spacing w:line="276" w:lineRule="auto"/>
        <w:ind w:left="360"/>
        <w:rPr>
          <w:rFonts w:ascii="Arial" w:hAnsi="Arial" w:cs="Arial"/>
        </w:rPr>
      </w:pPr>
    </w:p>
    <w:p w14:paraId="5260B463" w14:textId="77777777" w:rsidR="009B497C" w:rsidRPr="00A447A6" w:rsidRDefault="006F59FD" w:rsidP="009B497C">
      <w:pPr>
        <w:pStyle w:val="PolicyHeading1NumberedBody"/>
        <w:spacing w:line="360" w:lineRule="auto"/>
      </w:pPr>
      <w:r w:rsidRPr="00A447A6">
        <w:t>Procedures</w:t>
      </w:r>
    </w:p>
    <w:p w14:paraId="62F52509" w14:textId="19EB0F75" w:rsidR="009B497C" w:rsidRPr="00A447A6" w:rsidRDefault="007A5F13" w:rsidP="009B497C">
      <w:pPr>
        <w:spacing w:line="276" w:lineRule="auto"/>
        <w:ind w:left="360"/>
        <w:rPr>
          <w:rFonts w:ascii="Arial" w:hAnsi="Arial" w:cs="Arial"/>
        </w:rPr>
      </w:pPr>
      <w:r w:rsidRPr="00A447A6">
        <w:rPr>
          <w:rFonts w:ascii="Arial" w:hAnsi="Arial" w:cs="Arial"/>
        </w:rPr>
        <w:t xml:space="preserve">5.1 The </w:t>
      </w:r>
      <w:r w:rsidR="00054202" w:rsidRPr="00A447A6">
        <w:rPr>
          <w:rFonts w:ascii="Arial" w:hAnsi="Arial" w:cs="Arial"/>
        </w:rPr>
        <w:t xml:space="preserve">employee </w:t>
      </w:r>
      <w:r w:rsidR="009B497C" w:rsidRPr="00A447A6">
        <w:rPr>
          <w:rFonts w:ascii="Arial" w:hAnsi="Arial" w:cs="Arial"/>
        </w:rPr>
        <w:t>must report all non-token gifts, benefits and hospital</w:t>
      </w:r>
      <w:r w:rsidR="00767BF8" w:rsidRPr="00A447A6">
        <w:rPr>
          <w:rFonts w:ascii="Arial" w:hAnsi="Arial" w:cs="Arial"/>
        </w:rPr>
        <w:t>ity and/or seek advice from the General Manager of People and Finance,</w:t>
      </w:r>
      <w:r w:rsidR="009B497C" w:rsidRPr="00A447A6">
        <w:rPr>
          <w:rFonts w:ascii="Arial" w:hAnsi="Arial" w:cs="Arial"/>
        </w:rPr>
        <w:t xml:space="preserve"> if unsure how to respond to a non-token offer of a gift, benefit or hospitality more than $50 in value</w:t>
      </w:r>
    </w:p>
    <w:p w14:paraId="719AB9C3" w14:textId="77777777" w:rsidR="009B497C" w:rsidRPr="00A447A6" w:rsidRDefault="009B497C" w:rsidP="009B497C">
      <w:pPr>
        <w:ind w:left="360"/>
        <w:rPr>
          <w:rFonts w:ascii="Arial" w:hAnsi="Arial" w:cs="Arial"/>
        </w:rPr>
      </w:pPr>
    </w:p>
    <w:p w14:paraId="57D55278" w14:textId="2799C707" w:rsidR="00410280" w:rsidRPr="00A447A6" w:rsidRDefault="009B497C" w:rsidP="00410280">
      <w:pPr>
        <w:ind w:left="360"/>
        <w:rPr>
          <w:rFonts w:ascii="Arial" w:hAnsi="Arial" w:cs="Arial"/>
        </w:rPr>
      </w:pPr>
      <w:r w:rsidRPr="00A447A6">
        <w:rPr>
          <w:rFonts w:ascii="Arial" w:hAnsi="Arial" w:cs="Arial"/>
        </w:rPr>
        <w:t xml:space="preserve">5.2 </w:t>
      </w:r>
      <w:r w:rsidR="00410280" w:rsidRPr="00A447A6">
        <w:rPr>
          <w:rFonts w:ascii="Arial" w:hAnsi="Arial" w:cs="Arial"/>
        </w:rPr>
        <w:t>R</w:t>
      </w:r>
      <w:r w:rsidRPr="00A447A6">
        <w:rPr>
          <w:rFonts w:ascii="Arial" w:hAnsi="Arial" w:cs="Arial"/>
        </w:rPr>
        <w:t>eport all token offers</w:t>
      </w:r>
      <w:r w:rsidR="000F005E" w:rsidRPr="00A447A6">
        <w:rPr>
          <w:rFonts w:ascii="Arial" w:hAnsi="Arial" w:cs="Arial"/>
        </w:rPr>
        <w:t xml:space="preserve"> (of up to $50 in value)</w:t>
      </w:r>
      <w:r w:rsidRPr="00A447A6">
        <w:rPr>
          <w:rFonts w:ascii="Arial" w:hAnsi="Arial" w:cs="Arial"/>
        </w:rPr>
        <w:t xml:space="preserve">  direct</w:t>
      </w:r>
      <w:r w:rsidR="00721B90" w:rsidRPr="00A447A6">
        <w:rPr>
          <w:rFonts w:ascii="Arial" w:hAnsi="Arial" w:cs="Arial"/>
        </w:rPr>
        <w:t xml:space="preserve">ly to </w:t>
      </w:r>
      <w:r w:rsidR="00767BF8" w:rsidRPr="00A447A6">
        <w:rPr>
          <w:rFonts w:ascii="Arial" w:hAnsi="Arial" w:cs="Arial"/>
        </w:rPr>
        <w:t xml:space="preserve">General Manager of People and Finance, </w:t>
      </w:r>
      <w:r w:rsidRPr="00A447A6">
        <w:rPr>
          <w:rFonts w:ascii="Arial" w:hAnsi="Arial" w:cs="Arial"/>
        </w:rPr>
        <w:t xml:space="preserve">which is to be recorded on </w:t>
      </w:r>
      <w:r w:rsidR="00721B90" w:rsidRPr="00A447A6">
        <w:rPr>
          <w:rFonts w:ascii="Arial" w:hAnsi="Arial" w:cs="Arial"/>
        </w:rPr>
        <w:t>the employee</w:t>
      </w:r>
      <w:r w:rsidR="00DF48DB" w:rsidRPr="00A447A6">
        <w:rPr>
          <w:rFonts w:ascii="Arial" w:hAnsi="Arial" w:cs="Arial"/>
        </w:rPr>
        <w:t>'</w:t>
      </w:r>
      <w:r w:rsidR="00721B90" w:rsidRPr="00A447A6">
        <w:rPr>
          <w:rFonts w:ascii="Arial" w:hAnsi="Arial" w:cs="Arial"/>
        </w:rPr>
        <w:t>s file</w:t>
      </w:r>
      <w:r w:rsidRPr="00A447A6">
        <w:rPr>
          <w:rFonts w:ascii="Arial" w:hAnsi="Arial" w:cs="Arial"/>
        </w:rPr>
        <w:t xml:space="preserve"> </w:t>
      </w:r>
    </w:p>
    <w:p w14:paraId="2DC99D56" w14:textId="349D7910" w:rsidR="009B497C" w:rsidRPr="00A447A6" w:rsidRDefault="009B497C" w:rsidP="00054202">
      <w:pPr>
        <w:ind w:left="360"/>
        <w:rPr>
          <w:rFonts w:ascii="Arial" w:hAnsi="Arial" w:cs="Arial"/>
        </w:rPr>
      </w:pPr>
    </w:p>
    <w:p w14:paraId="15F24522" w14:textId="1DC0C0AF" w:rsidR="00350648" w:rsidRPr="00A447A6" w:rsidRDefault="00350648" w:rsidP="00054202">
      <w:pPr>
        <w:ind w:left="360"/>
        <w:rPr>
          <w:rFonts w:ascii="Arial" w:hAnsi="Arial" w:cs="Arial"/>
        </w:rPr>
      </w:pPr>
      <w:r w:rsidRPr="00A447A6">
        <w:rPr>
          <w:rFonts w:ascii="Arial" w:hAnsi="Arial" w:cs="Arial"/>
        </w:rPr>
        <w:t>5.3 FLINTWOOD may allocate benefits to employees as a part of their employee benefits schemes such as: discount cards, specials, lower priced equipment, opportunity to discounts and bulk buying options.  This is fairly offered to employees and not for the exclusive benefit of one individual.</w:t>
      </w:r>
    </w:p>
    <w:p w14:paraId="183A1D20" w14:textId="77D733FC" w:rsidR="00350648" w:rsidRPr="00A447A6" w:rsidRDefault="00350648" w:rsidP="00054202">
      <w:pPr>
        <w:ind w:left="360"/>
        <w:rPr>
          <w:rFonts w:ascii="Arial" w:hAnsi="Arial" w:cs="Arial"/>
        </w:rPr>
      </w:pPr>
      <w:r w:rsidRPr="00A447A6">
        <w:rPr>
          <w:rFonts w:ascii="Arial" w:hAnsi="Arial" w:cs="Arial"/>
        </w:rPr>
        <w:t xml:space="preserve"> </w:t>
      </w:r>
    </w:p>
    <w:p w14:paraId="2AA5BA9E" w14:textId="06ACBFC9" w:rsidR="009B497C" w:rsidRPr="00A447A6" w:rsidRDefault="009B497C" w:rsidP="009B497C">
      <w:pPr>
        <w:ind w:left="360"/>
        <w:rPr>
          <w:rFonts w:ascii="Arial" w:hAnsi="Arial" w:cs="Arial"/>
        </w:rPr>
      </w:pPr>
      <w:r w:rsidRPr="00A447A6">
        <w:rPr>
          <w:rFonts w:ascii="Arial" w:hAnsi="Arial" w:cs="Arial"/>
        </w:rPr>
        <w:lastRenderedPageBreak/>
        <w:t>5.</w:t>
      </w:r>
      <w:r w:rsidR="00350648" w:rsidRPr="00A447A6">
        <w:rPr>
          <w:rFonts w:ascii="Arial" w:hAnsi="Arial" w:cs="Arial"/>
        </w:rPr>
        <w:t>4</w:t>
      </w:r>
      <w:r w:rsidRPr="00A447A6">
        <w:rPr>
          <w:rFonts w:ascii="Arial" w:hAnsi="Arial" w:cs="Arial"/>
        </w:rPr>
        <w:t xml:space="preserve"> FLINTWOOD emp</w:t>
      </w:r>
      <w:r w:rsidR="00767BF8" w:rsidRPr="00A447A6">
        <w:rPr>
          <w:rFonts w:ascii="Arial" w:hAnsi="Arial" w:cs="Arial"/>
        </w:rPr>
        <w:t>loyees supporting a Participant</w:t>
      </w:r>
      <w:r w:rsidRPr="00A447A6">
        <w:rPr>
          <w:rFonts w:ascii="Arial" w:hAnsi="Arial" w:cs="Arial"/>
        </w:rPr>
        <w:t xml:space="preserve"> in a private arrangement </w:t>
      </w:r>
      <w:r w:rsidR="00F84957" w:rsidRPr="00A447A6">
        <w:rPr>
          <w:rFonts w:ascii="Arial" w:hAnsi="Arial" w:cs="Arial"/>
        </w:rPr>
        <w:t xml:space="preserve">must notify Human Resources </w:t>
      </w:r>
      <w:r w:rsidR="00DF48DB" w:rsidRPr="00A447A6">
        <w:rPr>
          <w:rFonts w:ascii="Arial" w:hAnsi="Arial" w:cs="Arial"/>
        </w:rPr>
        <w:t>before</w:t>
      </w:r>
      <w:r w:rsidR="00F84957" w:rsidRPr="00A447A6">
        <w:rPr>
          <w:rFonts w:ascii="Arial" w:hAnsi="Arial" w:cs="Arial"/>
        </w:rPr>
        <w:t xml:space="preserve"> the commencement of the private arrangement</w:t>
      </w:r>
    </w:p>
    <w:p w14:paraId="281EEC72" w14:textId="4561A52F" w:rsidR="00B71632" w:rsidRPr="00A447A6" w:rsidRDefault="00B71632" w:rsidP="009B497C">
      <w:pPr>
        <w:ind w:left="360"/>
        <w:rPr>
          <w:rFonts w:ascii="Arial" w:hAnsi="Arial" w:cs="Arial"/>
        </w:rPr>
      </w:pPr>
    </w:p>
    <w:p w14:paraId="4E0AD8C3" w14:textId="3EB38926" w:rsidR="00B71632" w:rsidRPr="00A447A6" w:rsidRDefault="00B71632" w:rsidP="009B497C">
      <w:pPr>
        <w:ind w:left="360"/>
        <w:rPr>
          <w:rFonts w:ascii="Arial" w:hAnsi="Arial" w:cs="Arial"/>
        </w:rPr>
      </w:pPr>
      <w:r w:rsidRPr="00A447A6">
        <w:rPr>
          <w:rFonts w:ascii="Arial" w:hAnsi="Arial" w:cs="Arial"/>
        </w:rPr>
        <w:t>5.5 Employees cannot influence or try to gain a better deal using Flintwood’s name.</w:t>
      </w:r>
    </w:p>
    <w:p w14:paraId="32F51917" w14:textId="77777777" w:rsidR="00410280" w:rsidRPr="00A447A6" w:rsidRDefault="00410280" w:rsidP="009B497C">
      <w:pPr>
        <w:ind w:left="360"/>
        <w:rPr>
          <w:rFonts w:ascii="Arial" w:hAnsi="Arial" w:cs="Arial"/>
        </w:rPr>
      </w:pPr>
    </w:p>
    <w:p w14:paraId="7FD04B16" w14:textId="36A9B269" w:rsidR="00410280" w:rsidRPr="00A447A6" w:rsidRDefault="00410280" w:rsidP="009B497C">
      <w:pPr>
        <w:ind w:left="360"/>
        <w:rPr>
          <w:rFonts w:ascii="Arial" w:hAnsi="Arial" w:cs="Arial"/>
        </w:rPr>
      </w:pPr>
      <w:r w:rsidRPr="00A447A6">
        <w:rPr>
          <w:rFonts w:ascii="Arial" w:hAnsi="Arial" w:cs="Arial"/>
        </w:rPr>
        <w:t>5.</w:t>
      </w:r>
      <w:r w:rsidR="00663BB3" w:rsidRPr="00A447A6">
        <w:rPr>
          <w:rFonts w:ascii="Arial" w:hAnsi="Arial" w:cs="Arial"/>
        </w:rPr>
        <w:t>6</w:t>
      </w:r>
      <w:r w:rsidRPr="00A447A6">
        <w:rPr>
          <w:rFonts w:ascii="Arial" w:hAnsi="Arial" w:cs="Arial"/>
        </w:rPr>
        <w:t xml:space="preserve"> Advise</w:t>
      </w:r>
      <w:r w:rsidR="00B71632" w:rsidRPr="00A447A6">
        <w:rPr>
          <w:rFonts w:ascii="Arial" w:hAnsi="Arial" w:cs="Arial"/>
        </w:rPr>
        <w:t xml:space="preserve"> the</w:t>
      </w:r>
      <w:r w:rsidRPr="00A447A6">
        <w:rPr>
          <w:rFonts w:ascii="Arial" w:hAnsi="Arial" w:cs="Arial"/>
        </w:rPr>
        <w:t xml:space="preserve"> </w:t>
      </w:r>
      <w:r w:rsidR="00B71632" w:rsidRPr="00A447A6">
        <w:rPr>
          <w:rFonts w:ascii="Arial" w:hAnsi="Arial" w:cs="Arial"/>
        </w:rPr>
        <w:t xml:space="preserve">General Manager of People and Finance, </w:t>
      </w:r>
      <w:r w:rsidRPr="00A447A6">
        <w:rPr>
          <w:rFonts w:ascii="Arial" w:hAnsi="Arial" w:cs="Arial"/>
        </w:rPr>
        <w:t>of all actual and potential conflicts of interests</w:t>
      </w:r>
    </w:p>
    <w:p w14:paraId="74DD92FC" w14:textId="77777777" w:rsidR="00410280" w:rsidRPr="00A447A6" w:rsidRDefault="00410280" w:rsidP="009B497C">
      <w:pPr>
        <w:ind w:left="360"/>
        <w:rPr>
          <w:rFonts w:ascii="Arial" w:hAnsi="Arial" w:cs="Arial"/>
        </w:rPr>
      </w:pPr>
    </w:p>
    <w:p w14:paraId="0ABFE281" w14:textId="269F3C2B" w:rsidR="00054202" w:rsidRPr="00A447A6" w:rsidRDefault="00410280" w:rsidP="004768D3">
      <w:pPr>
        <w:ind w:left="360"/>
        <w:rPr>
          <w:rFonts w:ascii="Arial" w:hAnsi="Arial" w:cs="Arial"/>
        </w:rPr>
      </w:pPr>
      <w:r w:rsidRPr="00A447A6">
        <w:rPr>
          <w:rFonts w:ascii="Arial" w:hAnsi="Arial" w:cs="Arial"/>
        </w:rPr>
        <w:t>5.</w:t>
      </w:r>
      <w:r w:rsidR="00663BB3" w:rsidRPr="00A447A6">
        <w:rPr>
          <w:rFonts w:ascii="Arial" w:hAnsi="Arial" w:cs="Arial"/>
        </w:rPr>
        <w:t>7</w:t>
      </w:r>
      <w:r w:rsidRPr="00A447A6">
        <w:rPr>
          <w:rFonts w:ascii="Arial" w:hAnsi="Arial" w:cs="Arial"/>
        </w:rPr>
        <w:t xml:space="preserve"> Report to </w:t>
      </w:r>
      <w:r w:rsidR="00B71632" w:rsidRPr="00A447A6">
        <w:rPr>
          <w:rFonts w:ascii="Arial" w:hAnsi="Arial" w:cs="Arial"/>
        </w:rPr>
        <w:t xml:space="preserve">the General Manager of People and Finance, </w:t>
      </w:r>
      <w:r w:rsidRPr="00A447A6">
        <w:rPr>
          <w:rFonts w:ascii="Arial" w:hAnsi="Arial" w:cs="Arial"/>
        </w:rPr>
        <w:t xml:space="preserve">all direct and indirect offers of gifts, benefits and hospitality where there is an attempt or perceived attempt to create an obligation </w:t>
      </w:r>
    </w:p>
    <w:p w14:paraId="7E6128DB" w14:textId="77777777" w:rsidR="006F59FD" w:rsidRPr="00A447A6" w:rsidRDefault="006F59FD" w:rsidP="005D48EC">
      <w:pPr>
        <w:pStyle w:val="PolicyHeading1NumberedBody"/>
        <w:spacing w:line="276" w:lineRule="auto"/>
      </w:pPr>
      <w:r w:rsidRPr="00A447A6">
        <w:t>RESPONSIBILITIES</w:t>
      </w:r>
    </w:p>
    <w:p w14:paraId="70694A06" w14:textId="77777777" w:rsidR="00410280" w:rsidRPr="00A447A6" w:rsidRDefault="00410280" w:rsidP="00410280">
      <w:pPr>
        <w:pStyle w:val="PolicyHeading2Unnumbered"/>
      </w:pPr>
      <w:r w:rsidRPr="00A447A6">
        <w:t>Employees</w:t>
      </w:r>
    </w:p>
    <w:p w14:paraId="1249BAC0" w14:textId="77777777" w:rsidR="00410280" w:rsidRPr="00A447A6" w:rsidRDefault="00410280" w:rsidP="00410280">
      <w:pPr>
        <w:pStyle w:val="PolicyBodyBullets"/>
        <w:numPr>
          <w:ilvl w:val="0"/>
          <w:numId w:val="21"/>
        </w:numPr>
      </w:pPr>
      <w:r w:rsidRPr="00A447A6">
        <w:t>Declare all gifts, token and non-token to direct Manager</w:t>
      </w:r>
    </w:p>
    <w:p w14:paraId="318E00E3" w14:textId="77777777" w:rsidR="008814AE" w:rsidRPr="00A447A6" w:rsidRDefault="008814AE" w:rsidP="00410280">
      <w:pPr>
        <w:pStyle w:val="PolicyBodyBullets"/>
        <w:numPr>
          <w:ilvl w:val="0"/>
          <w:numId w:val="21"/>
        </w:numPr>
      </w:pPr>
      <w:r w:rsidRPr="00A447A6">
        <w:t>Advise direct Manager of all actual or potential conflicts of interest</w:t>
      </w:r>
    </w:p>
    <w:p w14:paraId="2FC4D397" w14:textId="0107A50F" w:rsidR="008814AE" w:rsidRPr="00A447A6" w:rsidRDefault="008814AE" w:rsidP="00410280">
      <w:pPr>
        <w:pStyle w:val="PolicyBodyBullets"/>
        <w:numPr>
          <w:ilvl w:val="0"/>
          <w:numId w:val="21"/>
        </w:numPr>
      </w:pPr>
      <w:r w:rsidRPr="00A447A6">
        <w:t xml:space="preserve">Advise Human Resources and direct Manager of any approach by </w:t>
      </w:r>
      <w:r w:rsidR="00767BF8" w:rsidRPr="00A447A6">
        <w:t>Participants</w:t>
      </w:r>
      <w:r w:rsidRPr="00A447A6">
        <w:t xml:space="preserve">, families or carers to engage in private paid arrangements to support </w:t>
      </w:r>
      <w:r w:rsidR="00767BF8" w:rsidRPr="00A447A6">
        <w:t>Participants</w:t>
      </w:r>
    </w:p>
    <w:p w14:paraId="2CF61A81" w14:textId="77777777" w:rsidR="00BE49C1" w:rsidRPr="00A447A6" w:rsidRDefault="00B37463" w:rsidP="00BE49C1">
      <w:pPr>
        <w:pStyle w:val="PolicyHeading2Unnumbered"/>
      </w:pPr>
      <w:r w:rsidRPr="00A447A6">
        <w:t>Service</w:t>
      </w:r>
      <w:r w:rsidR="00BE49C1" w:rsidRPr="00A447A6">
        <w:t xml:space="preserve"> Manager</w:t>
      </w:r>
    </w:p>
    <w:p w14:paraId="786387C0" w14:textId="77777777" w:rsidR="007306F0" w:rsidRPr="00A447A6" w:rsidRDefault="00410280" w:rsidP="003A58B0">
      <w:pPr>
        <w:pStyle w:val="PolicyBodyBullets"/>
        <w:numPr>
          <w:ilvl w:val="0"/>
          <w:numId w:val="21"/>
        </w:numPr>
      </w:pPr>
      <w:r w:rsidRPr="00A447A6">
        <w:t>Declare all gifts, token and non-token to General Manager</w:t>
      </w:r>
    </w:p>
    <w:p w14:paraId="1D5BB621" w14:textId="77777777" w:rsidR="008814AE" w:rsidRPr="00A447A6" w:rsidRDefault="008814AE" w:rsidP="008814AE">
      <w:pPr>
        <w:pStyle w:val="PolicyBodyBullets"/>
        <w:numPr>
          <w:ilvl w:val="0"/>
          <w:numId w:val="21"/>
        </w:numPr>
      </w:pPr>
      <w:r w:rsidRPr="00A447A6">
        <w:t>Notify direct Manager of all actual or potential conflicts of interest</w:t>
      </w:r>
    </w:p>
    <w:p w14:paraId="6266E0AF" w14:textId="6FBBF645" w:rsidR="00895074" w:rsidRPr="00A447A6" w:rsidRDefault="00895074" w:rsidP="008814AE">
      <w:pPr>
        <w:pStyle w:val="PolicyBodyBullets"/>
        <w:numPr>
          <w:ilvl w:val="0"/>
          <w:numId w:val="21"/>
        </w:numPr>
      </w:pPr>
      <w:r w:rsidRPr="00A447A6">
        <w:t>Notify Service Manager of all token gifts, benefit</w:t>
      </w:r>
      <w:r w:rsidR="00DF48DB" w:rsidRPr="00A447A6">
        <w:t>s</w:t>
      </w:r>
      <w:r w:rsidRPr="00A447A6">
        <w:t xml:space="preserve"> and hospitality given to an employee</w:t>
      </w:r>
    </w:p>
    <w:p w14:paraId="1FC68B78" w14:textId="77777777" w:rsidR="008814AE" w:rsidRPr="00A447A6" w:rsidRDefault="008814AE" w:rsidP="008814AE">
      <w:pPr>
        <w:pStyle w:val="PolicyBodyBullets"/>
        <w:numPr>
          <w:ilvl w:val="0"/>
          <w:numId w:val="21"/>
        </w:numPr>
      </w:pPr>
      <w:r w:rsidRPr="00A447A6">
        <w:t>Notify direct Manager of any direct or indirect approach of</w:t>
      </w:r>
      <w:r w:rsidRPr="00A447A6">
        <w:rPr>
          <w:rFonts w:cs="Arial"/>
        </w:rPr>
        <w:t xml:space="preserve"> gifts, benefits or hospitality where acceptance would create an obligation to the donor or business associate</w:t>
      </w:r>
    </w:p>
    <w:p w14:paraId="1EE131AB" w14:textId="77777777" w:rsidR="00AA2E95" w:rsidRPr="00A447A6" w:rsidRDefault="00B37463" w:rsidP="00BE49C1">
      <w:pPr>
        <w:pStyle w:val="PolicyHeading2Unnumbered"/>
      </w:pPr>
      <w:r w:rsidRPr="00A447A6">
        <w:t>General</w:t>
      </w:r>
      <w:r w:rsidR="00AA2E95" w:rsidRPr="00A447A6">
        <w:t xml:space="preserve"> Manage</w:t>
      </w:r>
      <w:r w:rsidR="005244E3" w:rsidRPr="00A447A6">
        <w:t>r</w:t>
      </w:r>
    </w:p>
    <w:p w14:paraId="403B3401" w14:textId="77777777" w:rsidR="007306F0" w:rsidRPr="00A447A6" w:rsidRDefault="00410280" w:rsidP="003A58B0">
      <w:pPr>
        <w:pStyle w:val="PolicyBodyBullets"/>
        <w:ind w:left="1112" w:hanging="261"/>
      </w:pPr>
      <w:r w:rsidRPr="00A447A6">
        <w:t>Declare all gifts, benefits and hospitality to the CEO</w:t>
      </w:r>
    </w:p>
    <w:p w14:paraId="3A46DDC2" w14:textId="77777777" w:rsidR="008814AE" w:rsidRPr="00A447A6" w:rsidRDefault="008814AE" w:rsidP="003A58B0">
      <w:pPr>
        <w:pStyle w:val="PolicyBodyBullets"/>
        <w:ind w:left="1112" w:hanging="261"/>
      </w:pPr>
      <w:r w:rsidRPr="00A447A6">
        <w:t>Advise direct Manager of all actual or potential conflicts of interest</w:t>
      </w:r>
    </w:p>
    <w:p w14:paraId="4BB63BAF" w14:textId="77777777" w:rsidR="00895074" w:rsidRPr="00A447A6" w:rsidRDefault="00895074" w:rsidP="003A58B0">
      <w:pPr>
        <w:pStyle w:val="PolicyBodyBullets"/>
        <w:ind w:left="1112" w:hanging="261"/>
      </w:pPr>
      <w:r w:rsidRPr="00A447A6">
        <w:t>Notify General Manager People, Finance &amp; Systems of all token gifts, benefits and hospitality given to a Service Manager or employee</w:t>
      </w:r>
    </w:p>
    <w:p w14:paraId="291C8B1B" w14:textId="77777777" w:rsidR="008814AE" w:rsidRPr="00A447A6" w:rsidRDefault="008814AE" w:rsidP="003A58B0">
      <w:pPr>
        <w:pStyle w:val="PolicyBodyBullets"/>
        <w:ind w:left="1112" w:hanging="261"/>
      </w:pPr>
      <w:r w:rsidRPr="00A447A6">
        <w:t xml:space="preserve">Notify </w:t>
      </w:r>
      <w:r w:rsidR="00895074" w:rsidRPr="00A447A6">
        <w:t>CEO and General Manager People, Finance &amp; Systems</w:t>
      </w:r>
      <w:r w:rsidRPr="00A447A6">
        <w:t xml:space="preserve"> of any direct or indirect approach of gifts, benefits or hospitality where acceptance would create an obligation to the donor or business associate</w:t>
      </w:r>
    </w:p>
    <w:p w14:paraId="47115F2E" w14:textId="77777777" w:rsidR="00AA2E95" w:rsidRPr="00A447A6" w:rsidRDefault="004E1099" w:rsidP="004E1099">
      <w:pPr>
        <w:pStyle w:val="PolicyHeading2Unnumbered"/>
      </w:pPr>
      <w:r w:rsidRPr="00A447A6">
        <w:t>CEO</w:t>
      </w:r>
    </w:p>
    <w:p w14:paraId="007D2F6C" w14:textId="77777777" w:rsidR="007306F0" w:rsidRPr="00A447A6" w:rsidRDefault="00410280" w:rsidP="00410280">
      <w:pPr>
        <w:pStyle w:val="ListParagraph"/>
        <w:numPr>
          <w:ilvl w:val="0"/>
          <w:numId w:val="21"/>
        </w:numPr>
        <w:rPr>
          <w:rFonts w:ascii="Arial" w:eastAsiaTheme="minorHAnsi" w:hAnsi="Arial" w:cs="Times New Roman (Body CS)"/>
          <w:sz w:val="24"/>
          <w:szCs w:val="24"/>
        </w:rPr>
      </w:pPr>
      <w:r w:rsidRPr="00A447A6">
        <w:rPr>
          <w:rFonts w:ascii="Arial" w:eastAsiaTheme="minorHAnsi" w:hAnsi="Arial" w:cs="Times New Roman (Body CS)"/>
          <w:sz w:val="24"/>
          <w:szCs w:val="24"/>
        </w:rPr>
        <w:t>Declare all gifts, benefits and hospitality to the Board of Directors</w:t>
      </w:r>
    </w:p>
    <w:p w14:paraId="5D90EF31" w14:textId="511BA602" w:rsidR="008814AE" w:rsidRPr="00A447A6" w:rsidRDefault="008814AE" w:rsidP="008814AE">
      <w:pPr>
        <w:pStyle w:val="PolicyBodyBullets"/>
        <w:numPr>
          <w:ilvl w:val="0"/>
          <w:numId w:val="21"/>
        </w:numPr>
      </w:pPr>
      <w:r w:rsidRPr="00A447A6">
        <w:t xml:space="preserve">Notify </w:t>
      </w:r>
      <w:r w:rsidR="00895074" w:rsidRPr="00A447A6">
        <w:t>the Board of Directors</w:t>
      </w:r>
      <w:r w:rsidRPr="00A447A6">
        <w:t xml:space="preserve"> of any direct or indirect approach of</w:t>
      </w:r>
      <w:r w:rsidRPr="00A447A6">
        <w:rPr>
          <w:rFonts w:cs="Arial"/>
        </w:rPr>
        <w:t xml:space="preserve"> gifts, benefits or hospitality where acceptance would create an obligation to the donor or business associate</w:t>
      </w:r>
    </w:p>
    <w:p w14:paraId="2CBC75EA" w14:textId="55046E05" w:rsidR="00721B90" w:rsidRPr="00A447A6" w:rsidRDefault="00721B90" w:rsidP="00721B90">
      <w:pPr>
        <w:pStyle w:val="PolicyBodyBullets"/>
        <w:numPr>
          <w:ilvl w:val="0"/>
          <w:numId w:val="0"/>
        </w:numPr>
        <w:ind w:left="983" w:hanging="263"/>
        <w:rPr>
          <w:rFonts w:cs="Arial"/>
        </w:rPr>
      </w:pPr>
    </w:p>
    <w:p w14:paraId="25FD91C1" w14:textId="6EBEA79E" w:rsidR="00721B90" w:rsidRPr="00A447A6" w:rsidRDefault="00721B90" w:rsidP="00721B90">
      <w:pPr>
        <w:pStyle w:val="PolicyBodyBullets"/>
        <w:numPr>
          <w:ilvl w:val="0"/>
          <w:numId w:val="0"/>
        </w:numPr>
        <w:ind w:left="983" w:hanging="263"/>
        <w:rPr>
          <w:rFonts w:cs="Arial"/>
          <w:b/>
          <w:bCs/>
        </w:rPr>
      </w:pPr>
      <w:r w:rsidRPr="00A447A6">
        <w:rPr>
          <w:rFonts w:cs="Arial"/>
          <w:b/>
          <w:bCs/>
        </w:rPr>
        <w:t>BOARD OF DIRECTORS</w:t>
      </w:r>
    </w:p>
    <w:p w14:paraId="23314F50" w14:textId="3226F4E5" w:rsidR="00721B90" w:rsidRPr="00A447A6" w:rsidRDefault="00721B90" w:rsidP="00721B90">
      <w:pPr>
        <w:pStyle w:val="PolicyBodyBullets"/>
        <w:numPr>
          <w:ilvl w:val="0"/>
          <w:numId w:val="37"/>
        </w:numPr>
      </w:pPr>
      <w:r w:rsidRPr="00A447A6">
        <w:t>Oversee any potential conflicts arising from gifts and conflict of interest</w:t>
      </w:r>
    </w:p>
    <w:p w14:paraId="1C35040B" w14:textId="77777777" w:rsidR="008814AE" w:rsidRPr="00A447A6" w:rsidRDefault="008814AE" w:rsidP="008814AE">
      <w:pPr>
        <w:pStyle w:val="ListParagraph"/>
        <w:ind w:left="1174"/>
        <w:rPr>
          <w:rFonts w:ascii="Arial" w:eastAsiaTheme="minorHAnsi" w:hAnsi="Arial" w:cs="Times New Roman (Body CS)"/>
          <w:sz w:val="24"/>
          <w:szCs w:val="24"/>
        </w:rPr>
      </w:pPr>
    </w:p>
    <w:p w14:paraId="38E8E5C0" w14:textId="77777777" w:rsidR="006F59FD" w:rsidRPr="00A447A6" w:rsidRDefault="006F59FD" w:rsidP="005F37DA">
      <w:pPr>
        <w:pStyle w:val="PolicyHeading1UnnumberedBody"/>
      </w:pPr>
      <w:r w:rsidRPr="00A447A6">
        <w:t>CHANGE HISTORY</w:t>
      </w:r>
    </w:p>
    <w:p w14:paraId="59C2C2BA" w14:textId="77777777" w:rsidR="007662CF" w:rsidRPr="00A447A6" w:rsidRDefault="007662CF" w:rsidP="007662CF">
      <w:pPr>
        <w:rPr>
          <w:sz w:val="16"/>
          <w:szCs w:val="16"/>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6"/>
        <w:gridCol w:w="2268"/>
        <w:gridCol w:w="1843"/>
        <w:gridCol w:w="3203"/>
      </w:tblGrid>
      <w:tr w:rsidR="00A447A6" w:rsidRPr="00A447A6" w14:paraId="53A19B1B" w14:textId="77777777" w:rsidTr="007C06FF">
        <w:trPr>
          <w:tblHeader/>
        </w:trPr>
        <w:tc>
          <w:tcPr>
            <w:tcW w:w="1336" w:type="dxa"/>
            <w:shd w:val="clear" w:color="auto" w:fill="7F7F7F" w:themeFill="text1" w:themeFillTint="80"/>
          </w:tcPr>
          <w:p w14:paraId="1FB53A74" w14:textId="77777777" w:rsidR="005F37DA" w:rsidRPr="00A447A6" w:rsidRDefault="00521BD1" w:rsidP="005F37DA">
            <w:pPr>
              <w:pStyle w:val="PolicyBodyTable"/>
            </w:pPr>
            <w:r w:rsidRPr="00A447A6">
              <w:t>Version</w:t>
            </w:r>
          </w:p>
        </w:tc>
        <w:tc>
          <w:tcPr>
            <w:tcW w:w="2268" w:type="dxa"/>
            <w:shd w:val="clear" w:color="auto" w:fill="7F7F7F" w:themeFill="text1" w:themeFillTint="80"/>
          </w:tcPr>
          <w:p w14:paraId="069048AA" w14:textId="77777777" w:rsidR="005F37DA" w:rsidRPr="00A447A6" w:rsidRDefault="005F37DA" w:rsidP="005F37DA">
            <w:pPr>
              <w:pStyle w:val="PolicyBodyTable"/>
            </w:pPr>
            <w:r w:rsidRPr="00A447A6">
              <w:t>Release / R</w:t>
            </w:r>
            <w:r w:rsidR="00976485" w:rsidRPr="00A447A6">
              <w:t>e</w:t>
            </w:r>
            <w:r w:rsidRPr="00A447A6">
              <w:t>view date</w:t>
            </w:r>
          </w:p>
        </w:tc>
        <w:tc>
          <w:tcPr>
            <w:tcW w:w="1843" w:type="dxa"/>
            <w:shd w:val="clear" w:color="auto" w:fill="7F7F7F" w:themeFill="text1" w:themeFillTint="80"/>
          </w:tcPr>
          <w:p w14:paraId="68405109" w14:textId="77777777" w:rsidR="005F37DA" w:rsidRPr="00A447A6" w:rsidRDefault="005F37DA" w:rsidP="005F37DA">
            <w:pPr>
              <w:pStyle w:val="PolicyBodyTable"/>
            </w:pPr>
            <w:r w:rsidRPr="00A447A6">
              <w:t>Author / Reviewer</w:t>
            </w:r>
          </w:p>
        </w:tc>
        <w:tc>
          <w:tcPr>
            <w:tcW w:w="3203" w:type="dxa"/>
            <w:shd w:val="clear" w:color="auto" w:fill="7F7F7F" w:themeFill="text1" w:themeFillTint="80"/>
          </w:tcPr>
          <w:p w14:paraId="0671B7B7" w14:textId="77777777" w:rsidR="005F37DA" w:rsidRPr="00A447A6" w:rsidRDefault="005F37DA" w:rsidP="005F37DA">
            <w:pPr>
              <w:pStyle w:val="PolicyBodyTable"/>
            </w:pPr>
            <w:r w:rsidRPr="00A447A6">
              <w:t>Change details</w:t>
            </w:r>
          </w:p>
        </w:tc>
      </w:tr>
      <w:tr w:rsidR="00A447A6" w:rsidRPr="00A447A6" w14:paraId="7E5D45AC" w14:textId="77777777" w:rsidTr="00976485">
        <w:tc>
          <w:tcPr>
            <w:tcW w:w="1336" w:type="dxa"/>
          </w:tcPr>
          <w:p w14:paraId="79C83A6A" w14:textId="0ED6B246" w:rsidR="00521BD1" w:rsidRPr="00A447A6" w:rsidRDefault="00721B90" w:rsidP="00521BD1">
            <w:pPr>
              <w:jc w:val="both"/>
              <w:rPr>
                <w:rFonts w:ascii="Arial" w:hAnsi="Arial" w:cs="Arial"/>
                <w:sz w:val="20"/>
                <w:szCs w:val="20"/>
              </w:rPr>
            </w:pPr>
            <w:r w:rsidRPr="00A447A6">
              <w:rPr>
                <w:rFonts w:ascii="Arial" w:hAnsi="Arial" w:cs="Arial"/>
                <w:sz w:val="20"/>
                <w:szCs w:val="20"/>
              </w:rPr>
              <w:t>0.1</w:t>
            </w:r>
          </w:p>
        </w:tc>
        <w:tc>
          <w:tcPr>
            <w:tcW w:w="2268" w:type="dxa"/>
          </w:tcPr>
          <w:p w14:paraId="1175EC06" w14:textId="77777777" w:rsidR="00521BD1" w:rsidRPr="00A447A6" w:rsidRDefault="00521BD1" w:rsidP="00521BD1">
            <w:pPr>
              <w:jc w:val="both"/>
              <w:rPr>
                <w:rFonts w:ascii="Arial" w:hAnsi="Arial" w:cs="Arial"/>
                <w:sz w:val="20"/>
                <w:szCs w:val="20"/>
              </w:rPr>
            </w:pPr>
          </w:p>
        </w:tc>
        <w:tc>
          <w:tcPr>
            <w:tcW w:w="1843" w:type="dxa"/>
          </w:tcPr>
          <w:p w14:paraId="73EC4ADD" w14:textId="77777777" w:rsidR="00521BD1" w:rsidRPr="00A447A6" w:rsidRDefault="00521BD1" w:rsidP="00521BD1">
            <w:pPr>
              <w:jc w:val="both"/>
              <w:rPr>
                <w:rFonts w:ascii="Arial" w:hAnsi="Arial" w:cs="Arial"/>
                <w:sz w:val="20"/>
                <w:szCs w:val="20"/>
              </w:rPr>
            </w:pPr>
            <w:r w:rsidRPr="00A447A6">
              <w:rPr>
                <w:rFonts w:ascii="Arial" w:hAnsi="Arial" w:cs="Arial"/>
                <w:sz w:val="20"/>
                <w:szCs w:val="20"/>
              </w:rPr>
              <w:t>Andrew Sadleir</w:t>
            </w:r>
          </w:p>
        </w:tc>
        <w:tc>
          <w:tcPr>
            <w:tcW w:w="3203" w:type="dxa"/>
          </w:tcPr>
          <w:p w14:paraId="4B00F253" w14:textId="77777777" w:rsidR="00521BD1" w:rsidRPr="00A447A6" w:rsidRDefault="00521BD1" w:rsidP="00521BD1">
            <w:pPr>
              <w:pStyle w:val="PolicyBodyTable"/>
            </w:pPr>
            <w:r w:rsidRPr="00A447A6">
              <w:rPr>
                <w:rFonts w:cs="Arial"/>
                <w:szCs w:val="20"/>
              </w:rPr>
              <w:t>New policy – merged Gift and Conflict of Interest policies</w:t>
            </w:r>
          </w:p>
        </w:tc>
      </w:tr>
      <w:tr w:rsidR="00A447A6" w:rsidRPr="00A447A6" w14:paraId="6555ED8D" w14:textId="77777777" w:rsidTr="00976485">
        <w:tc>
          <w:tcPr>
            <w:tcW w:w="1336" w:type="dxa"/>
          </w:tcPr>
          <w:p w14:paraId="5B46CA6C" w14:textId="1DF7171B" w:rsidR="00521BD1" w:rsidRPr="00A447A6" w:rsidRDefault="00721B90" w:rsidP="00521BD1">
            <w:pPr>
              <w:jc w:val="both"/>
              <w:rPr>
                <w:rFonts w:ascii="Arial" w:hAnsi="Arial" w:cs="Arial"/>
                <w:sz w:val="20"/>
                <w:szCs w:val="20"/>
              </w:rPr>
            </w:pPr>
            <w:r w:rsidRPr="00A447A6">
              <w:rPr>
                <w:rFonts w:ascii="Arial" w:hAnsi="Arial" w:cs="Arial"/>
                <w:sz w:val="20"/>
                <w:szCs w:val="20"/>
              </w:rPr>
              <w:t>0.2</w:t>
            </w:r>
          </w:p>
        </w:tc>
        <w:tc>
          <w:tcPr>
            <w:tcW w:w="2268" w:type="dxa"/>
          </w:tcPr>
          <w:p w14:paraId="45D083A6" w14:textId="7B60116D" w:rsidR="00521BD1" w:rsidRPr="00A447A6" w:rsidRDefault="00721B90" w:rsidP="00521BD1">
            <w:pPr>
              <w:jc w:val="both"/>
              <w:rPr>
                <w:rFonts w:ascii="Arial" w:hAnsi="Arial" w:cs="Arial"/>
                <w:sz w:val="20"/>
                <w:szCs w:val="20"/>
              </w:rPr>
            </w:pPr>
            <w:r w:rsidRPr="00A447A6">
              <w:rPr>
                <w:rFonts w:ascii="Arial" w:hAnsi="Arial" w:cs="Arial"/>
                <w:sz w:val="20"/>
                <w:szCs w:val="20"/>
              </w:rPr>
              <w:t>Sept 2021</w:t>
            </w:r>
          </w:p>
        </w:tc>
        <w:tc>
          <w:tcPr>
            <w:tcW w:w="1843" w:type="dxa"/>
          </w:tcPr>
          <w:p w14:paraId="6B575F27" w14:textId="3F2F926D" w:rsidR="00521BD1" w:rsidRPr="00A447A6" w:rsidRDefault="00663BB3" w:rsidP="00521BD1">
            <w:pPr>
              <w:jc w:val="both"/>
              <w:rPr>
                <w:rFonts w:ascii="Arial" w:hAnsi="Arial" w:cs="Arial"/>
                <w:sz w:val="20"/>
                <w:szCs w:val="20"/>
              </w:rPr>
            </w:pPr>
            <w:r w:rsidRPr="00A447A6">
              <w:rPr>
                <w:rFonts w:ascii="Arial" w:hAnsi="Arial" w:cs="Arial"/>
                <w:sz w:val="20"/>
                <w:szCs w:val="20"/>
              </w:rPr>
              <w:t>Policy Committee</w:t>
            </w:r>
          </w:p>
        </w:tc>
        <w:tc>
          <w:tcPr>
            <w:tcW w:w="3203" w:type="dxa"/>
          </w:tcPr>
          <w:p w14:paraId="11EA51EF" w14:textId="7350A17D" w:rsidR="00521BD1" w:rsidRPr="00A447A6" w:rsidRDefault="00721B90" w:rsidP="00521BD1">
            <w:pPr>
              <w:jc w:val="both"/>
              <w:rPr>
                <w:rFonts w:ascii="Arial" w:hAnsi="Arial" w:cs="Arial"/>
                <w:sz w:val="20"/>
                <w:szCs w:val="20"/>
              </w:rPr>
            </w:pPr>
            <w:r w:rsidRPr="00A447A6">
              <w:rPr>
                <w:rFonts w:ascii="Arial" w:hAnsi="Arial" w:cs="Arial"/>
                <w:sz w:val="20"/>
                <w:szCs w:val="20"/>
              </w:rPr>
              <w:t>Review</w:t>
            </w:r>
            <w:r w:rsidR="00A447A6" w:rsidRPr="00A447A6">
              <w:rPr>
                <w:rFonts w:ascii="Arial" w:hAnsi="Arial" w:cs="Arial"/>
                <w:sz w:val="20"/>
                <w:szCs w:val="20"/>
              </w:rPr>
              <w:t>ed and Approved</w:t>
            </w:r>
          </w:p>
        </w:tc>
      </w:tr>
      <w:tr w:rsidR="00663BB3" w:rsidRPr="00521BD1" w14:paraId="6BFAE20B" w14:textId="77777777" w:rsidTr="00976485">
        <w:tc>
          <w:tcPr>
            <w:tcW w:w="1336" w:type="dxa"/>
          </w:tcPr>
          <w:p w14:paraId="6909B11F" w14:textId="60FC281D" w:rsidR="00663BB3" w:rsidRDefault="00663BB3" w:rsidP="00521BD1">
            <w:pPr>
              <w:jc w:val="both"/>
              <w:rPr>
                <w:rFonts w:ascii="Arial" w:hAnsi="Arial" w:cs="Arial"/>
                <w:color w:val="FF0000"/>
                <w:sz w:val="20"/>
                <w:szCs w:val="20"/>
              </w:rPr>
            </w:pPr>
            <w:r>
              <w:rPr>
                <w:rFonts w:ascii="Arial" w:hAnsi="Arial" w:cs="Arial"/>
                <w:color w:val="FF0000"/>
                <w:sz w:val="20"/>
                <w:szCs w:val="20"/>
              </w:rPr>
              <w:t>0.3</w:t>
            </w:r>
          </w:p>
        </w:tc>
        <w:tc>
          <w:tcPr>
            <w:tcW w:w="2268" w:type="dxa"/>
          </w:tcPr>
          <w:p w14:paraId="33DCCFC6" w14:textId="77777777" w:rsidR="00663BB3" w:rsidRDefault="00663BB3" w:rsidP="00521BD1">
            <w:pPr>
              <w:jc w:val="both"/>
              <w:rPr>
                <w:rFonts w:ascii="Arial" w:hAnsi="Arial" w:cs="Arial"/>
                <w:color w:val="FF0000"/>
                <w:sz w:val="20"/>
                <w:szCs w:val="20"/>
              </w:rPr>
            </w:pPr>
          </w:p>
        </w:tc>
        <w:tc>
          <w:tcPr>
            <w:tcW w:w="1843" w:type="dxa"/>
          </w:tcPr>
          <w:p w14:paraId="391BACC8" w14:textId="1F113877" w:rsidR="00663BB3" w:rsidRDefault="00663BB3" w:rsidP="00521BD1">
            <w:pPr>
              <w:jc w:val="both"/>
              <w:rPr>
                <w:rFonts w:ascii="Arial" w:hAnsi="Arial" w:cs="Arial"/>
                <w:color w:val="FF0000"/>
                <w:sz w:val="20"/>
                <w:szCs w:val="20"/>
              </w:rPr>
            </w:pPr>
          </w:p>
        </w:tc>
        <w:tc>
          <w:tcPr>
            <w:tcW w:w="3203" w:type="dxa"/>
          </w:tcPr>
          <w:p w14:paraId="75C043ED" w14:textId="77777777" w:rsidR="00663BB3" w:rsidRDefault="00663BB3" w:rsidP="00521BD1">
            <w:pPr>
              <w:jc w:val="both"/>
              <w:rPr>
                <w:rFonts w:ascii="Arial" w:hAnsi="Arial" w:cs="Arial"/>
                <w:color w:val="FF0000"/>
                <w:sz w:val="20"/>
                <w:szCs w:val="20"/>
              </w:rPr>
            </w:pPr>
          </w:p>
        </w:tc>
      </w:tr>
    </w:tbl>
    <w:p w14:paraId="2C872F1D" w14:textId="77777777" w:rsidR="0001673F" w:rsidRPr="00521BD1" w:rsidRDefault="0001673F" w:rsidP="0001673F">
      <w:pPr>
        <w:pStyle w:val="PolicyHeading1NumberedBody"/>
        <w:numPr>
          <w:ilvl w:val="0"/>
          <w:numId w:val="0"/>
        </w:numPr>
        <w:ind w:left="360" w:hanging="360"/>
        <w:rPr>
          <w:color w:val="FF0000"/>
        </w:rPr>
      </w:pPr>
    </w:p>
    <w:sectPr w:rsidR="0001673F" w:rsidRPr="00521BD1" w:rsidSect="00802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5EA7"/>
    <w:multiLevelType w:val="hybridMultilevel"/>
    <w:tmpl w:val="F01C08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62350"/>
    <w:multiLevelType w:val="hybridMultilevel"/>
    <w:tmpl w:val="D560832E"/>
    <w:lvl w:ilvl="0" w:tplc="76DE83A6">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466290"/>
    <w:multiLevelType w:val="hybridMultilevel"/>
    <w:tmpl w:val="EAE62960"/>
    <w:lvl w:ilvl="0" w:tplc="76DE83A6">
      <w:numFmt w:val="bullet"/>
      <w:lvlText w:val="•"/>
      <w:lvlJc w:val="left"/>
      <w:pPr>
        <w:ind w:left="2160" w:hanging="360"/>
      </w:pPr>
      <w:rPr>
        <w:rFonts w:ascii="Arial" w:eastAsiaTheme="minorHAnsi"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5615E6A"/>
    <w:multiLevelType w:val="hybridMultilevel"/>
    <w:tmpl w:val="C8B68B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5CA2901"/>
    <w:multiLevelType w:val="hybridMultilevel"/>
    <w:tmpl w:val="6E1A7D76"/>
    <w:lvl w:ilvl="0" w:tplc="76DE83A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3F3BB3"/>
    <w:multiLevelType w:val="hybridMultilevel"/>
    <w:tmpl w:val="F49EE7A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197C61B3"/>
    <w:multiLevelType w:val="hybridMultilevel"/>
    <w:tmpl w:val="A21C8104"/>
    <w:lvl w:ilvl="0" w:tplc="0C090001">
      <w:start w:val="1"/>
      <w:numFmt w:val="bullet"/>
      <w:lvlText w:val=""/>
      <w:lvlJc w:val="left"/>
      <w:pPr>
        <w:ind w:left="1440" w:hanging="360"/>
      </w:pPr>
      <w:rPr>
        <w:rFonts w:ascii="Symbol" w:hAnsi="Symbol" w:hint="default"/>
      </w:rPr>
    </w:lvl>
    <w:lvl w:ilvl="1" w:tplc="EA10EB74">
      <w:numFmt w:val="bullet"/>
      <w:lvlText w:val="•"/>
      <w:lvlJc w:val="left"/>
      <w:pPr>
        <w:ind w:left="2880" w:hanging="108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6EB4327"/>
    <w:multiLevelType w:val="hybridMultilevel"/>
    <w:tmpl w:val="DE782D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36542D"/>
    <w:multiLevelType w:val="multilevel"/>
    <w:tmpl w:val="3276274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BC18CA"/>
    <w:multiLevelType w:val="hybridMultilevel"/>
    <w:tmpl w:val="4F32A7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4E0F50"/>
    <w:multiLevelType w:val="multilevel"/>
    <w:tmpl w:val="441C30DA"/>
    <w:lvl w:ilvl="0">
      <w:start w:val="1"/>
      <w:numFmt w:val="bullet"/>
      <w:pStyle w:val="PolicyBodyBullets"/>
      <w:lvlText w:val=""/>
      <w:lvlJc w:val="left"/>
      <w:pPr>
        <w:ind w:left="983" w:hanging="263"/>
      </w:pPr>
      <w:rPr>
        <w:rFonts w:ascii="Symbol" w:hAnsi="Symbol" w:hint="default"/>
      </w:rPr>
    </w:lvl>
    <w:lvl w:ilvl="1">
      <w:start w:val="1"/>
      <w:numFmt w:val="decimal"/>
      <w:lvlText w:val="%1.%2."/>
      <w:lvlJc w:val="left"/>
      <w:pPr>
        <w:ind w:left="1415" w:hanging="432"/>
      </w:pPr>
      <w:rPr>
        <w:rFonts w:hint="default"/>
      </w:rPr>
    </w:lvl>
    <w:lvl w:ilvl="2">
      <w:start w:val="1"/>
      <w:numFmt w:val="decimal"/>
      <w:lvlText w:val="%1.%2.%3."/>
      <w:lvlJc w:val="left"/>
      <w:pPr>
        <w:ind w:left="1847" w:hanging="504"/>
      </w:pPr>
      <w:rPr>
        <w:rFonts w:hint="default"/>
      </w:rPr>
    </w:lvl>
    <w:lvl w:ilvl="3">
      <w:start w:val="1"/>
      <w:numFmt w:val="decimal"/>
      <w:lvlText w:val="%1.%2.%3.%4."/>
      <w:lvlJc w:val="left"/>
      <w:pPr>
        <w:ind w:left="2351" w:hanging="648"/>
      </w:pPr>
      <w:rPr>
        <w:rFonts w:hint="default"/>
      </w:rPr>
    </w:lvl>
    <w:lvl w:ilvl="4">
      <w:start w:val="1"/>
      <w:numFmt w:val="decimal"/>
      <w:lvlText w:val="%1.%2.%3.%4.%5."/>
      <w:lvlJc w:val="left"/>
      <w:pPr>
        <w:ind w:left="2855" w:hanging="792"/>
      </w:pPr>
      <w:rPr>
        <w:rFonts w:hint="default"/>
      </w:rPr>
    </w:lvl>
    <w:lvl w:ilvl="5">
      <w:start w:val="1"/>
      <w:numFmt w:val="decimal"/>
      <w:lvlText w:val="%1.%2.%3.%4.%5.%6."/>
      <w:lvlJc w:val="left"/>
      <w:pPr>
        <w:ind w:left="3359" w:hanging="936"/>
      </w:pPr>
      <w:rPr>
        <w:rFonts w:hint="default"/>
      </w:rPr>
    </w:lvl>
    <w:lvl w:ilvl="6">
      <w:start w:val="1"/>
      <w:numFmt w:val="decimal"/>
      <w:lvlText w:val="%1.%2.%3.%4.%5.%6.%7."/>
      <w:lvlJc w:val="left"/>
      <w:pPr>
        <w:ind w:left="3863" w:hanging="1080"/>
      </w:pPr>
      <w:rPr>
        <w:rFonts w:hint="default"/>
      </w:rPr>
    </w:lvl>
    <w:lvl w:ilvl="7">
      <w:start w:val="1"/>
      <w:numFmt w:val="decimal"/>
      <w:lvlText w:val="%1.%2.%3.%4.%5.%6.%7.%8."/>
      <w:lvlJc w:val="left"/>
      <w:pPr>
        <w:ind w:left="4367" w:hanging="1224"/>
      </w:pPr>
      <w:rPr>
        <w:rFonts w:hint="default"/>
      </w:rPr>
    </w:lvl>
    <w:lvl w:ilvl="8">
      <w:start w:val="1"/>
      <w:numFmt w:val="decimal"/>
      <w:lvlText w:val="%1.%2.%3.%4.%5.%6.%7.%8.%9."/>
      <w:lvlJc w:val="left"/>
      <w:pPr>
        <w:ind w:left="4943" w:hanging="1440"/>
      </w:pPr>
      <w:rPr>
        <w:rFonts w:hint="default"/>
      </w:rPr>
    </w:lvl>
  </w:abstractNum>
  <w:abstractNum w:abstractNumId="17" w15:restartNumberingAfterBreak="0">
    <w:nsid w:val="39441B6F"/>
    <w:multiLevelType w:val="multilevel"/>
    <w:tmpl w:val="47420F5E"/>
    <w:numStyleLink w:val="UnnumberedSecondLevel"/>
  </w:abstractNum>
  <w:abstractNum w:abstractNumId="18" w15:restartNumberingAfterBreak="0">
    <w:nsid w:val="40B77B47"/>
    <w:multiLevelType w:val="hybridMultilevel"/>
    <w:tmpl w:val="3E2CAB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7FC50E4"/>
    <w:multiLevelType w:val="hybridMultilevel"/>
    <w:tmpl w:val="02EEA36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0" w15:restartNumberingAfterBreak="0">
    <w:nsid w:val="483B4CCD"/>
    <w:multiLevelType w:val="hybridMultilevel"/>
    <w:tmpl w:val="88A6DD6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1"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265282"/>
    <w:multiLevelType w:val="hybridMultilevel"/>
    <w:tmpl w:val="28A825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5" w15:restartNumberingAfterBreak="0">
    <w:nsid w:val="54482039"/>
    <w:multiLevelType w:val="hybridMultilevel"/>
    <w:tmpl w:val="C0F05FD2"/>
    <w:lvl w:ilvl="0" w:tplc="76DE83A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CAC6955"/>
    <w:multiLevelType w:val="hybridMultilevel"/>
    <w:tmpl w:val="1B78195E"/>
    <w:lvl w:ilvl="0" w:tplc="76DE83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1A4F1E"/>
    <w:multiLevelType w:val="hybridMultilevel"/>
    <w:tmpl w:val="DCDCA7D6"/>
    <w:lvl w:ilvl="0" w:tplc="490237BE">
      <w:start w:val="1"/>
      <w:numFmt w:val="bullet"/>
      <w:pStyle w:val="PolicyBodyBullets1"/>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8C09F2"/>
    <w:multiLevelType w:val="hybridMultilevel"/>
    <w:tmpl w:val="581E023C"/>
    <w:lvl w:ilvl="0" w:tplc="76DE83A6">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651B00E5"/>
    <w:multiLevelType w:val="hybridMultilevel"/>
    <w:tmpl w:val="1EA888B0"/>
    <w:lvl w:ilvl="0" w:tplc="76DE83A6">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1B44ED"/>
    <w:multiLevelType w:val="hybridMultilevel"/>
    <w:tmpl w:val="F0AC773A"/>
    <w:lvl w:ilvl="0" w:tplc="F878AA4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D752C9"/>
    <w:multiLevelType w:val="hybridMultilevel"/>
    <w:tmpl w:val="74020CAE"/>
    <w:lvl w:ilvl="0" w:tplc="76DE83A6">
      <w:numFmt w:val="bullet"/>
      <w:lvlText w:val="•"/>
      <w:lvlJc w:val="left"/>
      <w:pPr>
        <w:ind w:left="2520" w:hanging="360"/>
      </w:pPr>
      <w:rPr>
        <w:rFonts w:ascii="Arial" w:eastAsiaTheme="minorHAnsi"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21"/>
  </w:num>
  <w:num w:numId="2">
    <w:abstractNumId w:val="11"/>
  </w:num>
  <w:num w:numId="3">
    <w:abstractNumId w:val="17"/>
  </w:num>
  <w:num w:numId="4">
    <w:abstractNumId w:val="12"/>
  </w:num>
  <w:num w:numId="5">
    <w:abstractNumId w:val="13"/>
  </w:num>
  <w:num w:numId="6">
    <w:abstractNumId w:val="22"/>
  </w:num>
  <w:num w:numId="7">
    <w:abstractNumId w:val="0"/>
  </w:num>
  <w:num w:numId="8">
    <w:abstractNumId w:val="33"/>
  </w:num>
  <w:num w:numId="9">
    <w:abstractNumId w:val="4"/>
  </w:num>
  <w:num w:numId="10">
    <w:abstractNumId w:val="31"/>
  </w:num>
  <w:num w:numId="11">
    <w:abstractNumId w:val="2"/>
  </w:num>
  <w:num w:numId="12">
    <w:abstractNumId w:val="28"/>
  </w:num>
  <w:num w:numId="13">
    <w:abstractNumId w:val="16"/>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2"/>
  </w:num>
  <w:num w:numId="18">
    <w:abstractNumId w:val="6"/>
  </w:num>
  <w:num w:numId="19">
    <w:abstractNumId w:val="16"/>
  </w:num>
  <w:num w:numId="20">
    <w:abstractNumId w:val="8"/>
  </w:num>
  <w:num w:numId="21">
    <w:abstractNumId w:val="20"/>
  </w:num>
  <w:num w:numId="22">
    <w:abstractNumId w:val="10"/>
  </w:num>
  <w:num w:numId="23">
    <w:abstractNumId w:val="9"/>
  </w:num>
  <w:num w:numId="24">
    <w:abstractNumId w:val="18"/>
  </w:num>
  <w:num w:numId="25">
    <w:abstractNumId w:val="19"/>
  </w:num>
  <w:num w:numId="26">
    <w:abstractNumId w:val="23"/>
  </w:num>
  <w:num w:numId="27">
    <w:abstractNumId w:val="1"/>
  </w:num>
  <w:num w:numId="28">
    <w:abstractNumId w:val="26"/>
  </w:num>
  <w:num w:numId="29">
    <w:abstractNumId w:val="29"/>
  </w:num>
  <w:num w:numId="30">
    <w:abstractNumId w:val="3"/>
  </w:num>
  <w:num w:numId="31">
    <w:abstractNumId w:val="25"/>
  </w:num>
  <w:num w:numId="32">
    <w:abstractNumId w:val="5"/>
  </w:num>
  <w:num w:numId="33">
    <w:abstractNumId w:val="34"/>
  </w:num>
  <w:num w:numId="34">
    <w:abstractNumId w:val="14"/>
  </w:num>
  <w:num w:numId="35">
    <w:abstractNumId w:val="7"/>
  </w:num>
  <w:num w:numId="36">
    <w:abstractNumId w:val="3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NzEwNDQyNjWwMLVQ0lEKTi0uzszPAykwrAUAUsa+4CwAAAA="/>
  </w:docVars>
  <w:rsids>
    <w:rsidRoot w:val="00DE2EAA"/>
    <w:rsid w:val="0001673F"/>
    <w:rsid w:val="00054202"/>
    <w:rsid w:val="000F005E"/>
    <w:rsid w:val="0015175A"/>
    <w:rsid w:val="00173FE8"/>
    <w:rsid w:val="001B1416"/>
    <w:rsid w:val="001C3608"/>
    <w:rsid w:val="001C7C0B"/>
    <w:rsid w:val="001D2118"/>
    <w:rsid w:val="001F0F77"/>
    <w:rsid w:val="001F4EC4"/>
    <w:rsid w:val="00246B5C"/>
    <w:rsid w:val="00282321"/>
    <w:rsid w:val="002C1D85"/>
    <w:rsid w:val="002C38E7"/>
    <w:rsid w:val="002C6883"/>
    <w:rsid w:val="002E7718"/>
    <w:rsid w:val="00337ECD"/>
    <w:rsid w:val="00350648"/>
    <w:rsid w:val="003A58B0"/>
    <w:rsid w:val="003A695D"/>
    <w:rsid w:val="003A75A2"/>
    <w:rsid w:val="003B782A"/>
    <w:rsid w:val="003C19A8"/>
    <w:rsid w:val="003C6BEF"/>
    <w:rsid w:val="00410280"/>
    <w:rsid w:val="00413DA6"/>
    <w:rsid w:val="0042203D"/>
    <w:rsid w:val="00450958"/>
    <w:rsid w:val="00473EB7"/>
    <w:rsid w:val="004768D3"/>
    <w:rsid w:val="004A1B52"/>
    <w:rsid w:val="004E1099"/>
    <w:rsid w:val="0050294B"/>
    <w:rsid w:val="00521BD1"/>
    <w:rsid w:val="005244E3"/>
    <w:rsid w:val="0059669A"/>
    <w:rsid w:val="005A0282"/>
    <w:rsid w:val="005D48EC"/>
    <w:rsid w:val="005F37DA"/>
    <w:rsid w:val="00623C0F"/>
    <w:rsid w:val="006400BC"/>
    <w:rsid w:val="00663BB3"/>
    <w:rsid w:val="00694675"/>
    <w:rsid w:val="006B13E0"/>
    <w:rsid w:val="006D2E58"/>
    <w:rsid w:val="006D61B5"/>
    <w:rsid w:val="006F59FD"/>
    <w:rsid w:val="00721B90"/>
    <w:rsid w:val="00725A03"/>
    <w:rsid w:val="007306F0"/>
    <w:rsid w:val="00745007"/>
    <w:rsid w:val="007662CF"/>
    <w:rsid w:val="00767BF8"/>
    <w:rsid w:val="007A5F13"/>
    <w:rsid w:val="007C06FF"/>
    <w:rsid w:val="007E0F00"/>
    <w:rsid w:val="007F761F"/>
    <w:rsid w:val="00802313"/>
    <w:rsid w:val="00834BBD"/>
    <w:rsid w:val="008814AE"/>
    <w:rsid w:val="00895074"/>
    <w:rsid w:val="008A3035"/>
    <w:rsid w:val="008A393A"/>
    <w:rsid w:val="008C4057"/>
    <w:rsid w:val="008F1AC9"/>
    <w:rsid w:val="008F38BB"/>
    <w:rsid w:val="008F7FAB"/>
    <w:rsid w:val="00952FF2"/>
    <w:rsid w:val="009733FC"/>
    <w:rsid w:val="00974DF8"/>
    <w:rsid w:val="00976485"/>
    <w:rsid w:val="009B497C"/>
    <w:rsid w:val="009B4A04"/>
    <w:rsid w:val="009E052A"/>
    <w:rsid w:val="009E2D42"/>
    <w:rsid w:val="009E5400"/>
    <w:rsid w:val="00A31BDF"/>
    <w:rsid w:val="00A447A6"/>
    <w:rsid w:val="00A45632"/>
    <w:rsid w:val="00A77E58"/>
    <w:rsid w:val="00A84E4F"/>
    <w:rsid w:val="00A97982"/>
    <w:rsid w:val="00AA2E95"/>
    <w:rsid w:val="00AC4245"/>
    <w:rsid w:val="00AD44A7"/>
    <w:rsid w:val="00B37463"/>
    <w:rsid w:val="00B71632"/>
    <w:rsid w:val="00BB3DE0"/>
    <w:rsid w:val="00BE49C1"/>
    <w:rsid w:val="00C1756A"/>
    <w:rsid w:val="00C31B84"/>
    <w:rsid w:val="00C35C32"/>
    <w:rsid w:val="00C41441"/>
    <w:rsid w:val="00C8593A"/>
    <w:rsid w:val="00C97EA8"/>
    <w:rsid w:val="00CF79C9"/>
    <w:rsid w:val="00D302AB"/>
    <w:rsid w:val="00DA40AB"/>
    <w:rsid w:val="00DB6DB2"/>
    <w:rsid w:val="00DE2EAA"/>
    <w:rsid w:val="00DF48DB"/>
    <w:rsid w:val="00E31D14"/>
    <w:rsid w:val="00E6798E"/>
    <w:rsid w:val="00E77AD1"/>
    <w:rsid w:val="00EA7F80"/>
    <w:rsid w:val="00ED4949"/>
    <w:rsid w:val="00EE5E69"/>
    <w:rsid w:val="00F40386"/>
    <w:rsid w:val="00F66F55"/>
    <w:rsid w:val="00F84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6FF7"/>
  <w15:chartTrackingRefBased/>
  <w15:docId w15:val="{7CBD2123-C627-4D39-A741-F19B7225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pPr>
    <w:rPr>
      <w:rFonts w:ascii="Arial" w:hAnsi="Arial" w:cs="Times New Roman (Body CS)"/>
      <w:b/>
      <w:caps/>
    </w:rPr>
  </w:style>
  <w:style w:type="paragraph" w:customStyle="1" w:styleId="PolicyBodyNumbered">
    <w:name w:val="Policy Body Numbered"/>
    <w:basedOn w:val="PolicyHeading1NumberedBody"/>
    <w:qFormat/>
    <w:rsid w:val="008A393A"/>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8A393A"/>
    <w:pPr>
      <w:numPr>
        <w:numId w:val="13"/>
      </w:numPr>
      <w:spacing w:after="0" w:line="288" w:lineRule="auto"/>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iPriority w:val="99"/>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customStyle="1" w:styleId="PolicyBodyUnnumberedBold">
    <w:name w:val="Policy Body Unnumbered Bold"/>
    <w:basedOn w:val="PolicyBodyUnnumbered"/>
    <w:link w:val="PolicyBodyUnnumberedBoldChar"/>
    <w:qFormat/>
    <w:rsid w:val="001C7C0B"/>
    <w:rPr>
      <w:rFonts w:ascii="Arial Bold" w:hAnsi="Arial Bold"/>
      <w:b/>
    </w:rPr>
  </w:style>
  <w:style w:type="paragraph" w:customStyle="1" w:styleId="PolicyBodyBullets1">
    <w:name w:val="Policy Body Bullets1"/>
    <w:basedOn w:val="PolicyBodyBullets"/>
    <w:link w:val="PolicyBodyBullets1Char"/>
    <w:qFormat/>
    <w:rsid w:val="00C41441"/>
    <w:pPr>
      <w:numPr>
        <w:numId w:val="16"/>
      </w:numPr>
    </w:pPr>
  </w:style>
  <w:style w:type="character" w:customStyle="1" w:styleId="PolicyHeading1NumberedBodyChar">
    <w:name w:val="Policy Heading1 Numbered Body Char"/>
    <w:basedOn w:val="DefaultParagraphFont"/>
    <w:link w:val="PolicyHeading1NumberedBody"/>
    <w:rsid w:val="001C7C0B"/>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1C7C0B"/>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1C7C0B"/>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1C7C0B"/>
    <w:rPr>
      <w:rFonts w:ascii="Arial Bold" w:hAnsi="Arial Bold" w:cs="Times New Roman (Body CS)"/>
      <w:b/>
      <w:caps w:val="0"/>
    </w:rPr>
  </w:style>
  <w:style w:type="character" w:customStyle="1" w:styleId="PolicyBodyBulletsChar">
    <w:name w:val="Policy Body Bullets Char"/>
    <w:basedOn w:val="PolicyBodyUnnumberedChar"/>
    <w:link w:val="PolicyBodyBullets"/>
    <w:rsid w:val="008A393A"/>
    <w:rPr>
      <w:rFonts w:ascii="Arial" w:hAnsi="Arial" w:cs="Times New Roman (Body CS)"/>
      <w:b w:val="0"/>
      <w:caps w:val="0"/>
    </w:rPr>
  </w:style>
  <w:style w:type="character" w:customStyle="1" w:styleId="PolicyBodyBullets1Char">
    <w:name w:val="Policy Body Bullets1 Char"/>
    <w:basedOn w:val="PolicyBodyBulletsChar"/>
    <w:link w:val="PolicyBodyBullets1"/>
    <w:rsid w:val="00C41441"/>
    <w:rPr>
      <w:rFonts w:ascii="Arial" w:hAnsi="Arial" w:cs="Times New Roman (Body CS)"/>
      <w:b w:val="0"/>
      <w:caps w:val="0"/>
    </w:rPr>
  </w:style>
  <w:style w:type="paragraph" w:styleId="BalloonText">
    <w:name w:val="Balloon Text"/>
    <w:basedOn w:val="Normal"/>
    <w:link w:val="BalloonTextChar"/>
    <w:uiPriority w:val="99"/>
    <w:semiHidden/>
    <w:unhideWhenUsed/>
    <w:rsid w:val="0073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0"/>
    <w:rPr>
      <w:rFonts w:ascii="Segoe UI" w:hAnsi="Segoe UI" w:cs="Segoe UI"/>
      <w:sz w:val="18"/>
      <w:szCs w:val="18"/>
    </w:rPr>
  </w:style>
  <w:style w:type="character" w:styleId="Emphasis">
    <w:name w:val="Emphasis"/>
    <w:basedOn w:val="DefaultParagraphFont"/>
    <w:uiPriority w:val="20"/>
    <w:qFormat/>
    <w:rsid w:val="00A84E4F"/>
    <w:rPr>
      <w:i/>
      <w:iCs/>
    </w:rPr>
  </w:style>
  <w:style w:type="paragraph" w:styleId="ListParagraph">
    <w:name w:val="List Paragraph"/>
    <w:basedOn w:val="Normal"/>
    <w:uiPriority w:val="34"/>
    <w:qFormat/>
    <w:rsid w:val="00A45632"/>
    <w:pPr>
      <w:ind w:left="720"/>
      <w:contextualSpacing/>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adleir\Documents\Policies%20development%20draft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290</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Mcpartland</dc:creator>
  <cp:keywords/>
  <dc:description/>
  <cp:lastModifiedBy>Kay McPartland</cp:lastModifiedBy>
  <cp:revision>41</cp:revision>
  <cp:lastPrinted>2020-06-03T00:51:00Z</cp:lastPrinted>
  <dcterms:created xsi:type="dcterms:W3CDTF">2020-05-14T05:53:00Z</dcterms:created>
  <dcterms:modified xsi:type="dcterms:W3CDTF">2021-10-16T04:13:00Z</dcterms:modified>
</cp:coreProperties>
</file>