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80CE" w14:textId="77777777" w:rsidR="008E732E" w:rsidRPr="00AE72CD" w:rsidRDefault="00C049EC" w:rsidP="008E732E">
      <w:pPr>
        <w:pStyle w:val="PolicyName"/>
      </w:pPr>
      <w:r w:rsidRPr="00AE72CD">
        <w:t>Fatigue in the Workplace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7030"/>
      </w:tblGrid>
      <w:tr w:rsidR="00AE72CD" w:rsidRPr="00AE72CD" w14:paraId="6971C7FE" w14:textId="77777777" w:rsidTr="00573DC4">
        <w:tc>
          <w:tcPr>
            <w:tcW w:w="1980" w:type="dxa"/>
          </w:tcPr>
          <w:p w14:paraId="6EBF44D0" w14:textId="77777777" w:rsidR="008E732E" w:rsidRPr="00AE72CD" w:rsidRDefault="008E732E" w:rsidP="00573DC4">
            <w:pPr>
              <w:pStyle w:val="PolicyHeadingTableKey"/>
            </w:pPr>
            <w:r w:rsidRPr="00AE72CD">
              <w:t>Policy number</w:t>
            </w:r>
          </w:p>
        </w:tc>
        <w:tc>
          <w:tcPr>
            <w:tcW w:w="7030" w:type="dxa"/>
          </w:tcPr>
          <w:p w14:paraId="3ABFC192" w14:textId="77777777" w:rsidR="008E732E" w:rsidRPr="00AE72CD" w:rsidRDefault="008E732E" w:rsidP="00573DC4">
            <w:pPr>
              <w:pStyle w:val="PolicyHeadingTableValue"/>
            </w:pPr>
            <w:r w:rsidRPr="00AE72CD">
              <w:t>TBA</w:t>
            </w:r>
          </w:p>
        </w:tc>
      </w:tr>
      <w:tr w:rsidR="008E732E" w:rsidRPr="00AE72CD" w14:paraId="154ED003" w14:textId="77777777" w:rsidTr="00573DC4">
        <w:tc>
          <w:tcPr>
            <w:tcW w:w="1980" w:type="dxa"/>
          </w:tcPr>
          <w:p w14:paraId="4D123FD4" w14:textId="77777777" w:rsidR="008E732E" w:rsidRPr="00AE72CD" w:rsidRDefault="008E732E" w:rsidP="00573DC4">
            <w:pPr>
              <w:pStyle w:val="PolicyHeadingTableKey"/>
            </w:pPr>
            <w:r w:rsidRPr="00AE72CD">
              <w:t>Effective from</w:t>
            </w:r>
          </w:p>
        </w:tc>
        <w:tc>
          <w:tcPr>
            <w:tcW w:w="7030" w:type="dxa"/>
          </w:tcPr>
          <w:p w14:paraId="502778B6" w14:textId="77777777" w:rsidR="008E732E" w:rsidRPr="00AE72CD" w:rsidRDefault="008E732E" w:rsidP="00573DC4">
            <w:pPr>
              <w:pStyle w:val="PolicyHeadingTableValue"/>
            </w:pPr>
            <w:r w:rsidRPr="00AE72CD">
              <w:t>September 2021</w:t>
            </w:r>
          </w:p>
        </w:tc>
      </w:tr>
    </w:tbl>
    <w:p w14:paraId="0B8EBA2A" w14:textId="77777777" w:rsidR="008E732E" w:rsidRPr="00AE72CD" w:rsidRDefault="008E732E" w:rsidP="008E732E"/>
    <w:p w14:paraId="7D88A423" w14:textId="77777777" w:rsidR="00B34EE6" w:rsidRPr="00AE72CD" w:rsidRDefault="008E732E" w:rsidP="003D420D">
      <w:pPr>
        <w:pStyle w:val="PolicyHeading1UnnumberedBody"/>
      </w:pPr>
      <w:r w:rsidRPr="00AE72CD">
        <w:t>AIM</w:t>
      </w:r>
      <w:bookmarkStart w:id="0" w:name="_GoBack"/>
      <w:bookmarkEnd w:id="0"/>
    </w:p>
    <w:p w14:paraId="7E0DCC78" w14:textId="77777777" w:rsidR="003D420D" w:rsidRPr="00AE72CD" w:rsidRDefault="003D420D" w:rsidP="003D420D">
      <w:pPr>
        <w:pStyle w:val="PolicyBodyUnnumbered"/>
      </w:pPr>
    </w:p>
    <w:p w14:paraId="726A1E3D" w14:textId="05B03E8B" w:rsidR="00B34EE6" w:rsidRPr="00AE72CD" w:rsidRDefault="00C049EC" w:rsidP="00C049EC">
      <w:pPr>
        <w:pStyle w:val="Default"/>
        <w:ind w:left="426"/>
        <w:jc w:val="both"/>
        <w:rPr>
          <w:color w:val="auto"/>
        </w:rPr>
      </w:pPr>
      <w:r w:rsidRPr="00AE72CD">
        <w:rPr>
          <w:color w:val="auto"/>
        </w:rPr>
        <w:t>FLINTWOOD aims to c</w:t>
      </w:r>
      <w:r w:rsidR="00AE72CD" w:rsidRPr="00AE72CD">
        <w:rPr>
          <w:color w:val="auto"/>
        </w:rPr>
        <w:t>onduct its business in a manner</w:t>
      </w:r>
      <w:r w:rsidRPr="00AE72CD">
        <w:rPr>
          <w:color w:val="auto"/>
        </w:rPr>
        <w:t xml:space="preserve"> </w:t>
      </w:r>
      <w:r w:rsidR="00B34EE6" w:rsidRPr="00AE72CD">
        <w:rPr>
          <w:color w:val="auto"/>
        </w:rPr>
        <w:t xml:space="preserve">which </w:t>
      </w:r>
      <w:proofErr w:type="spellStart"/>
      <w:r w:rsidRPr="00AE72CD">
        <w:rPr>
          <w:color w:val="auto"/>
        </w:rPr>
        <w:t>recognises</w:t>
      </w:r>
      <w:proofErr w:type="spellEnd"/>
      <w:r w:rsidRPr="00AE72CD">
        <w:rPr>
          <w:color w:val="auto"/>
        </w:rPr>
        <w:t xml:space="preserve"> the importance of the health, safety and wellbeing of its employees, participants, contractors and the public.</w:t>
      </w:r>
    </w:p>
    <w:p w14:paraId="6C16F3BB" w14:textId="77777777" w:rsidR="00C049EC" w:rsidRPr="00AE72CD" w:rsidRDefault="00C049EC" w:rsidP="00C049EC">
      <w:pPr>
        <w:pStyle w:val="Default"/>
        <w:ind w:left="426"/>
        <w:jc w:val="both"/>
        <w:rPr>
          <w:color w:val="auto"/>
        </w:rPr>
      </w:pPr>
      <w:r w:rsidRPr="00AE72CD">
        <w:rPr>
          <w:color w:val="auto"/>
        </w:rPr>
        <w:t xml:space="preserve"> </w:t>
      </w:r>
    </w:p>
    <w:p w14:paraId="47914A97" w14:textId="77777777" w:rsidR="008E732E" w:rsidRPr="00AE72CD" w:rsidRDefault="00C049EC" w:rsidP="00C049EC">
      <w:pPr>
        <w:pStyle w:val="Default"/>
        <w:ind w:left="426"/>
        <w:jc w:val="both"/>
        <w:rPr>
          <w:color w:val="auto"/>
        </w:rPr>
      </w:pPr>
      <w:r w:rsidRPr="00AE72CD">
        <w:rPr>
          <w:color w:val="auto"/>
        </w:rPr>
        <w:t>This policy relates to the management of fatigue. It is intended that this policy will reduce the risk of fatigue-related injuries and incidents</w:t>
      </w:r>
      <w:r w:rsidR="00B34EE6" w:rsidRPr="00AE72CD">
        <w:rPr>
          <w:color w:val="auto"/>
        </w:rPr>
        <w:t>.</w:t>
      </w:r>
      <w:r w:rsidRPr="00AE72CD">
        <w:rPr>
          <w:color w:val="auto"/>
        </w:rPr>
        <w:t xml:space="preserve"> </w:t>
      </w:r>
      <w:r w:rsidRPr="00AE72CD">
        <w:rPr>
          <w:strike/>
          <w:color w:val="auto"/>
        </w:rPr>
        <w:t>in respect of work performed.</w:t>
      </w:r>
    </w:p>
    <w:p w14:paraId="2BE74DDC" w14:textId="77777777" w:rsidR="008E732E" w:rsidRPr="00AE72CD" w:rsidRDefault="008E732E" w:rsidP="008E732E">
      <w:pPr>
        <w:pStyle w:val="PolicyHeading1UnnumberedBody"/>
        <w:spacing w:line="276" w:lineRule="auto"/>
      </w:pPr>
      <w:r w:rsidRPr="00AE72CD">
        <w:t>sCOPE</w:t>
      </w:r>
    </w:p>
    <w:p w14:paraId="63A2C3F1" w14:textId="3FD2DED3" w:rsidR="00AE4141" w:rsidRPr="00AE72CD" w:rsidRDefault="00C049EC" w:rsidP="00C049EC">
      <w:pPr>
        <w:pStyle w:val="PolicyHeading1NumberedBody"/>
        <w:numPr>
          <w:ilvl w:val="0"/>
          <w:numId w:val="0"/>
        </w:numPr>
        <w:ind w:left="360"/>
        <w:rPr>
          <w:rFonts w:eastAsia="Times New Roman" w:cs="Arial"/>
          <w:b w:val="0"/>
          <w:caps w:val="0"/>
        </w:rPr>
      </w:pPr>
      <w:r w:rsidRPr="00AE72CD">
        <w:rPr>
          <w:rFonts w:eastAsia="Times New Roman" w:cs="Arial"/>
          <w:b w:val="0"/>
          <w:caps w:val="0"/>
        </w:rPr>
        <w:t xml:space="preserve">This </w:t>
      </w:r>
      <w:r w:rsidR="00AE4141" w:rsidRPr="00AE72CD">
        <w:rPr>
          <w:rFonts w:eastAsia="Times New Roman" w:cs="Arial"/>
          <w:b w:val="0"/>
          <w:caps w:val="0"/>
        </w:rPr>
        <w:t xml:space="preserve">policy applies to all employees. </w:t>
      </w:r>
      <w:r w:rsidRPr="00AE72CD">
        <w:rPr>
          <w:rFonts w:eastAsia="Times New Roman" w:cs="Arial"/>
          <w:b w:val="0"/>
          <w:caps w:val="0"/>
        </w:rPr>
        <w:t xml:space="preserve">In particular, this policy applies to those who drive </w:t>
      </w:r>
      <w:r w:rsidR="00AE4141" w:rsidRPr="00AE72CD">
        <w:rPr>
          <w:rFonts w:eastAsia="Times New Roman" w:cs="Arial"/>
          <w:b w:val="0"/>
          <w:caps w:val="0"/>
        </w:rPr>
        <w:t xml:space="preserve">company </w:t>
      </w:r>
      <w:r w:rsidRPr="00AE72CD">
        <w:rPr>
          <w:rFonts w:eastAsia="Times New Roman" w:cs="Arial"/>
          <w:b w:val="0"/>
          <w:caps w:val="0"/>
        </w:rPr>
        <w:t>vehicles,</w:t>
      </w:r>
      <w:r w:rsidR="00AE4141" w:rsidRPr="00AE72CD">
        <w:rPr>
          <w:rFonts w:eastAsia="Times New Roman" w:cs="Arial"/>
          <w:b w:val="0"/>
          <w:caps w:val="0"/>
        </w:rPr>
        <w:t xml:space="preserve"> provid</w:t>
      </w:r>
      <w:r w:rsidR="00FD7946" w:rsidRPr="00AE72CD">
        <w:rPr>
          <w:rFonts w:eastAsia="Times New Roman" w:cs="Arial"/>
          <w:b w:val="0"/>
          <w:caps w:val="0"/>
        </w:rPr>
        <w:t>e</w:t>
      </w:r>
      <w:r w:rsidR="00AE4141" w:rsidRPr="00AE72CD">
        <w:rPr>
          <w:rFonts w:eastAsia="Times New Roman" w:cs="Arial"/>
          <w:b w:val="0"/>
          <w:caps w:val="0"/>
        </w:rPr>
        <w:t xml:space="preserve"> transportation to participants</w:t>
      </w:r>
      <w:r w:rsidR="00FD7946" w:rsidRPr="00AE72CD">
        <w:rPr>
          <w:rFonts w:eastAsia="Times New Roman" w:cs="Arial"/>
          <w:b w:val="0"/>
          <w:caps w:val="0"/>
        </w:rPr>
        <w:t>,</w:t>
      </w:r>
      <w:r w:rsidR="00AE4141" w:rsidRPr="00AE72CD">
        <w:rPr>
          <w:rFonts w:eastAsia="Times New Roman" w:cs="Arial"/>
          <w:b w:val="0"/>
          <w:caps w:val="0"/>
        </w:rPr>
        <w:t xml:space="preserve"> in addition to </w:t>
      </w:r>
      <w:r w:rsidR="00912798" w:rsidRPr="00AE72CD">
        <w:rPr>
          <w:rFonts w:eastAsia="Times New Roman" w:cs="Arial"/>
          <w:b w:val="0"/>
          <w:caps w:val="0"/>
        </w:rPr>
        <w:t>those who</w:t>
      </w:r>
      <w:r w:rsidRPr="00AE72CD">
        <w:rPr>
          <w:rFonts w:eastAsia="Times New Roman" w:cs="Arial"/>
          <w:b w:val="0"/>
          <w:caps w:val="0"/>
        </w:rPr>
        <w:t xml:space="preserve"> work shift work or extended hours.</w:t>
      </w:r>
    </w:p>
    <w:p w14:paraId="7643D847" w14:textId="77777777" w:rsidR="008E732E" w:rsidRPr="00AE72CD" w:rsidRDefault="008E732E" w:rsidP="00AE4141">
      <w:pPr>
        <w:pStyle w:val="PolicyHeading1NumberedBody"/>
      </w:pPr>
      <w:r w:rsidRPr="00AE72CD">
        <w:t>DEFINITION</w:t>
      </w:r>
    </w:p>
    <w:p w14:paraId="23CD12EE" w14:textId="77777777" w:rsidR="00AE4141" w:rsidRPr="00AE72CD" w:rsidRDefault="00AE4141" w:rsidP="008E732E">
      <w:pPr>
        <w:pStyle w:val="Default"/>
        <w:ind w:left="426"/>
        <w:rPr>
          <w:b/>
          <w:color w:val="auto"/>
          <w:u w:val="single"/>
        </w:rPr>
      </w:pPr>
    </w:p>
    <w:p w14:paraId="0D5C071C" w14:textId="17BB2D54" w:rsidR="00AE4141" w:rsidRPr="00AE72CD" w:rsidRDefault="00AE4141" w:rsidP="008E732E">
      <w:pPr>
        <w:pStyle w:val="Default"/>
        <w:ind w:left="426"/>
        <w:rPr>
          <w:color w:val="auto"/>
        </w:rPr>
      </w:pPr>
      <w:r w:rsidRPr="00AE72CD">
        <w:rPr>
          <w:b/>
          <w:color w:val="auto"/>
          <w:u w:val="single"/>
        </w:rPr>
        <w:t>Fatigue</w:t>
      </w:r>
      <w:r w:rsidR="008E732E" w:rsidRPr="00AE72CD">
        <w:rPr>
          <w:b/>
          <w:color w:val="auto"/>
          <w:u w:val="single"/>
        </w:rPr>
        <w:t>:</w:t>
      </w:r>
      <w:r w:rsidRPr="00AE72CD">
        <w:rPr>
          <w:color w:val="auto"/>
        </w:rPr>
        <w:t xml:space="preserve">  i</w:t>
      </w:r>
      <w:r w:rsidR="003D420D" w:rsidRPr="00AE72CD">
        <w:rPr>
          <w:color w:val="auto"/>
        </w:rPr>
        <w:t xml:space="preserve">s mental or physical exhaustion </w:t>
      </w:r>
      <w:r w:rsidR="007F0C94" w:rsidRPr="00AE72CD">
        <w:rPr>
          <w:color w:val="auto"/>
        </w:rPr>
        <w:t xml:space="preserve">that </w:t>
      </w:r>
      <w:r w:rsidRPr="00AE72CD">
        <w:rPr>
          <w:color w:val="auto"/>
        </w:rPr>
        <w:t>prevents a person from functioning normally and can impair safe work performance. It includes feeling sleepy, feeling physically or mentally tired, and feeling exhausted or lacking energy.</w:t>
      </w:r>
    </w:p>
    <w:p w14:paraId="1E897E10" w14:textId="77777777" w:rsidR="008E732E" w:rsidRPr="00AE72CD" w:rsidRDefault="008E732E" w:rsidP="008E732E">
      <w:pPr>
        <w:pStyle w:val="PolicyHeading1NumberedBody"/>
        <w:spacing w:line="276" w:lineRule="auto"/>
      </w:pPr>
      <w:r w:rsidRPr="00AE72CD">
        <w:t>POLICY</w:t>
      </w:r>
    </w:p>
    <w:p w14:paraId="1BB5EAD4" w14:textId="1004E425" w:rsidR="00AE4141" w:rsidRPr="00AE72CD" w:rsidRDefault="0049709D" w:rsidP="00B35C1D">
      <w:pPr>
        <w:pStyle w:val="PolicyHeading1NumberedBody"/>
        <w:numPr>
          <w:ilvl w:val="0"/>
          <w:numId w:val="0"/>
        </w:numPr>
        <w:ind w:left="360"/>
        <w:rPr>
          <w:rFonts w:cs="Arial"/>
          <w:b w:val="0"/>
          <w:caps w:val="0"/>
          <w:lang w:val="en-US"/>
        </w:rPr>
      </w:pPr>
      <w:r w:rsidRPr="00AE72CD">
        <w:rPr>
          <w:rFonts w:cs="Arial"/>
          <w:b w:val="0"/>
          <w:caps w:val="0"/>
          <w:lang w:val="en-US"/>
        </w:rPr>
        <w:t xml:space="preserve">4.1 </w:t>
      </w:r>
      <w:r w:rsidR="00AE4141" w:rsidRPr="00AE72CD">
        <w:rPr>
          <w:rFonts w:cs="Arial"/>
          <w:b w:val="0"/>
          <w:caps w:val="0"/>
          <w:lang w:val="en-US"/>
        </w:rPr>
        <w:t xml:space="preserve">FLINTWOOD has a responsibility through its duty of care provisions for each and every individual </w:t>
      </w:r>
      <w:r w:rsidR="00B34EE6" w:rsidRPr="00AE72CD">
        <w:rPr>
          <w:rFonts w:cs="Arial"/>
          <w:b w:val="0"/>
          <w:caps w:val="0"/>
          <w:lang w:val="en-US"/>
        </w:rPr>
        <w:t>employee</w:t>
      </w:r>
      <w:r w:rsidR="00AE4141" w:rsidRPr="00AE72CD">
        <w:rPr>
          <w:rFonts w:cs="Arial"/>
          <w:b w:val="0"/>
          <w:caps w:val="0"/>
          <w:lang w:val="en-US"/>
        </w:rPr>
        <w:t>; as such</w:t>
      </w:r>
      <w:r w:rsidR="007F0C94" w:rsidRPr="00AE72CD">
        <w:rPr>
          <w:rFonts w:cs="Arial"/>
          <w:b w:val="0"/>
          <w:caps w:val="0"/>
          <w:lang w:val="en-US"/>
        </w:rPr>
        <w:t>,</w:t>
      </w:r>
      <w:r w:rsidR="00AE4141" w:rsidRPr="00AE72CD">
        <w:rPr>
          <w:rFonts w:cs="Arial"/>
          <w:b w:val="0"/>
          <w:caps w:val="0"/>
          <w:lang w:val="en-US"/>
        </w:rPr>
        <w:t xml:space="preserve"> it requires each and every </w:t>
      </w:r>
      <w:r w:rsidR="00B34EE6" w:rsidRPr="00AE72CD">
        <w:rPr>
          <w:rFonts w:cs="Arial"/>
          <w:b w:val="0"/>
          <w:caps w:val="0"/>
          <w:lang w:val="en-US"/>
        </w:rPr>
        <w:t xml:space="preserve">employee </w:t>
      </w:r>
      <w:r w:rsidR="00AE4141" w:rsidRPr="00AE72CD">
        <w:rPr>
          <w:rFonts w:cs="Arial"/>
          <w:b w:val="0"/>
          <w:caps w:val="0"/>
          <w:lang w:val="en-US"/>
        </w:rPr>
        <w:t>to take responsibility to ensure they get enough sleep and are coming to work fresh and alert.</w:t>
      </w:r>
    </w:p>
    <w:p w14:paraId="2CFE97A4" w14:textId="3B7EC5CC" w:rsidR="00AE4141" w:rsidRPr="00AE72CD" w:rsidRDefault="0049709D" w:rsidP="00AE4141">
      <w:pPr>
        <w:pStyle w:val="PolicyHeading1NumberedBody"/>
        <w:numPr>
          <w:ilvl w:val="0"/>
          <w:numId w:val="0"/>
        </w:numPr>
        <w:ind w:left="360"/>
        <w:rPr>
          <w:rFonts w:cs="Arial"/>
          <w:b w:val="0"/>
          <w:caps w:val="0"/>
          <w:lang w:val="en-US"/>
        </w:rPr>
      </w:pPr>
      <w:r w:rsidRPr="00AE72CD">
        <w:rPr>
          <w:rFonts w:cs="Arial"/>
          <w:b w:val="0"/>
          <w:caps w:val="0"/>
          <w:lang w:val="en-US"/>
        </w:rPr>
        <w:t xml:space="preserve">4.2 </w:t>
      </w:r>
      <w:r w:rsidR="00AE4141" w:rsidRPr="00AE72CD">
        <w:rPr>
          <w:rFonts w:cs="Arial"/>
          <w:b w:val="0"/>
          <w:caps w:val="0"/>
          <w:lang w:val="en-US"/>
        </w:rPr>
        <w:t xml:space="preserve">FLINTWOOD understands that </w:t>
      </w:r>
      <w:r w:rsidR="00B34EE6" w:rsidRPr="00AE72CD">
        <w:rPr>
          <w:rFonts w:cs="Arial"/>
          <w:b w:val="0"/>
          <w:caps w:val="0"/>
          <w:lang w:val="en-US"/>
        </w:rPr>
        <w:t>tiredness</w:t>
      </w:r>
      <w:r w:rsidR="00B91356" w:rsidRPr="00AE72CD">
        <w:rPr>
          <w:rFonts w:cs="Arial"/>
          <w:b w:val="0"/>
          <w:caps w:val="0"/>
          <w:lang w:val="en-US"/>
        </w:rPr>
        <w:t>,</w:t>
      </w:r>
      <w:r w:rsidR="00B34EE6" w:rsidRPr="00AE72CD">
        <w:rPr>
          <w:rFonts w:cs="Arial"/>
          <w:b w:val="0"/>
          <w:caps w:val="0"/>
          <w:lang w:val="en-US"/>
        </w:rPr>
        <w:t xml:space="preserve"> </w:t>
      </w:r>
      <w:r w:rsidR="00B91356" w:rsidRPr="00AE72CD">
        <w:rPr>
          <w:rFonts w:cs="Arial"/>
          <w:b w:val="0"/>
          <w:caps w:val="0"/>
          <w:lang w:val="en-US"/>
        </w:rPr>
        <w:t xml:space="preserve">which can be a result of fatigue, leads </w:t>
      </w:r>
      <w:r w:rsidR="00B34EE6" w:rsidRPr="00AE72CD">
        <w:rPr>
          <w:rFonts w:cs="Arial"/>
          <w:b w:val="0"/>
          <w:caps w:val="0"/>
          <w:lang w:val="en-US"/>
        </w:rPr>
        <w:t>to poor decision making,</w:t>
      </w:r>
      <w:r w:rsidR="00AE4141" w:rsidRPr="00AE72CD">
        <w:rPr>
          <w:rFonts w:cs="Arial"/>
          <w:b w:val="0"/>
          <w:caps w:val="0"/>
          <w:lang w:val="en-US"/>
        </w:rPr>
        <w:t xml:space="preserve"> an increase in accidents and increased potential for risks of work related injuries and illnesses.</w:t>
      </w:r>
      <w:r w:rsidR="00B91356" w:rsidRPr="00AE72CD">
        <w:rPr>
          <w:rFonts w:cs="Arial"/>
          <w:b w:val="0"/>
          <w:caps w:val="0"/>
          <w:lang w:val="en-US"/>
        </w:rPr>
        <w:t xml:space="preserve"> </w:t>
      </w:r>
    </w:p>
    <w:p w14:paraId="3E0C3323" w14:textId="3F2E8B58" w:rsidR="00AE4141" w:rsidRPr="00AE72CD" w:rsidRDefault="0049709D" w:rsidP="00AE4141">
      <w:pPr>
        <w:pStyle w:val="PolicyHeading1NumberedBody"/>
        <w:numPr>
          <w:ilvl w:val="0"/>
          <w:numId w:val="0"/>
        </w:numPr>
        <w:ind w:left="360"/>
        <w:rPr>
          <w:rFonts w:cs="Arial"/>
          <w:b w:val="0"/>
          <w:caps w:val="0"/>
          <w:lang w:val="en-US"/>
        </w:rPr>
      </w:pPr>
      <w:r w:rsidRPr="00AE72CD">
        <w:rPr>
          <w:rFonts w:cs="Arial"/>
          <w:b w:val="0"/>
          <w:caps w:val="0"/>
          <w:lang w:val="en-US"/>
        </w:rPr>
        <w:t xml:space="preserve">4.3 </w:t>
      </w:r>
      <w:r w:rsidR="00AE4141" w:rsidRPr="00AE72CD">
        <w:rPr>
          <w:rFonts w:cs="Arial"/>
          <w:b w:val="0"/>
          <w:caps w:val="0"/>
          <w:lang w:val="en-US"/>
        </w:rPr>
        <w:t xml:space="preserve">FLINTWOOD further acknowledges that </w:t>
      </w:r>
      <w:r w:rsidR="00B91356" w:rsidRPr="00AE72CD">
        <w:rPr>
          <w:rFonts w:cs="Arial"/>
          <w:b w:val="0"/>
          <w:caps w:val="0"/>
          <w:lang w:val="en-US"/>
        </w:rPr>
        <w:t xml:space="preserve">the potential for </w:t>
      </w:r>
      <w:r w:rsidR="00AE4141" w:rsidRPr="00AE72CD">
        <w:rPr>
          <w:rFonts w:cs="Arial"/>
          <w:b w:val="0"/>
          <w:caps w:val="0"/>
          <w:lang w:val="en-US"/>
        </w:rPr>
        <w:t>workplace injuries and</w:t>
      </w:r>
      <w:r w:rsidR="00AE72CD" w:rsidRPr="00AE72CD">
        <w:rPr>
          <w:rFonts w:cs="Arial"/>
          <w:b w:val="0"/>
          <w:caps w:val="0"/>
          <w:lang w:val="en-US"/>
        </w:rPr>
        <w:t xml:space="preserve"> illnesses</w:t>
      </w:r>
      <w:r w:rsidR="00B91356" w:rsidRPr="00AE72CD">
        <w:rPr>
          <w:rFonts w:cs="Arial"/>
          <w:b w:val="0"/>
          <w:caps w:val="0"/>
          <w:lang w:val="en-US"/>
        </w:rPr>
        <w:t xml:space="preserve"> increase</w:t>
      </w:r>
      <w:r w:rsidR="00912798" w:rsidRPr="00AE72CD">
        <w:rPr>
          <w:rFonts w:cs="Arial"/>
          <w:b w:val="0"/>
          <w:caps w:val="0"/>
          <w:lang w:val="en-US"/>
        </w:rPr>
        <w:t xml:space="preserve"> </w:t>
      </w:r>
      <w:r w:rsidR="00B91356" w:rsidRPr="00AE72CD">
        <w:rPr>
          <w:rFonts w:cs="Arial"/>
          <w:b w:val="0"/>
          <w:caps w:val="0"/>
          <w:lang w:val="en-US"/>
        </w:rPr>
        <w:t xml:space="preserve">when </w:t>
      </w:r>
      <w:r w:rsidR="00912798" w:rsidRPr="00AE72CD">
        <w:rPr>
          <w:rFonts w:cs="Arial"/>
          <w:b w:val="0"/>
          <w:caps w:val="0"/>
          <w:lang w:val="en-US"/>
        </w:rPr>
        <w:t>e</w:t>
      </w:r>
      <w:r w:rsidR="00AE4141" w:rsidRPr="00AE72CD">
        <w:rPr>
          <w:rFonts w:cs="Arial"/>
          <w:b w:val="0"/>
          <w:caps w:val="0"/>
          <w:lang w:val="en-US"/>
        </w:rPr>
        <w:t xml:space="preserve">mployees are not fully rested and where they attend places of work for more than 10 </w:t>
      </w:r>
      <w:proofErr w:type="spellStart"/>
      <w:r w:rsidR="00AE4141" w:rsidRPr="00AE72CD">
        <w:rPr>
          <w:rFonts w:cs="Arial"/>
          <w:b w:val="0"/>
          <w:caps w:val="0"/>
          <w:lang w:val="en-US"/>
        </w:rPr>
        <w:t>hrs</w:t>
      </w:r>
      <w:proofErr w:type="spellEnd"/>
      <w:r w:rsidR="00AE4141" w:rsidRPr="00AE72CD">
        <w:rPr>
          <w:rFonts w:cs="Arial"/>
          <w:b w:val="0"/>
          <w:caps w:val="0"/>
          <w:lang w:val="en-US"/>
        </w:rPr>
        <w:t xml:space="preserve"> per day in any 24 </w:t>
      </w:r>
      <w:proofErr w:type="spellStart"/>
      <w:r w:rsidR="00AE4141" w:rsidRPr="00AE72CD">
        <w:rPr>
          <w:rFonts w:cs="Arial"/>
          <w:b w:val="0"/>
          <w:caps w:val="0"/>
          <w:lang w:val="en-US"/>
        </w:rPr>
        <w:t>hr</w:t>
      </w:r>
      <w:proofErr w:type="spellEnd"/>
      <w:r w:rsidR="00AE4141" w:rsidRPr="00AE72CD">
        <w:rPr>
          <w:rFonts w:cs="Arial"/>
          <w:b w:val="0"/>
          <w:caps w:val="0"/>
          <w:lang w:val="en-US"/>
        </w:rPr>
        <w:t xml:space="preserve"> period.</w:t>
      </w:r>
    </w:p>
    <w:p w14:paraId="7512A745" w14:textId="77777777" w:rsidR="00AE4141" w:rsidRPr="00AE72CD" w:rsidRDefault="008E732E" w:rsidP="00AE4141">
      <w:pPr>
        <w:pStyle w:val="PolicyHeading1NumberedBody"/>
        <w:spacing w:line="276" w:lineRule="auto"/>
      </w:pPr>
      <w:r w:rsidRPr="00AE72CD">
        <w:t>Procedures</w:t>
      </w:r>
    </w:p>
    <w:p w14:paraId="67A7EEEF" w14:textId="77777777" w:rsidR="00AE4141" w:rsidRPr="00AE72CD" w:rsidRDefault="00AE4141" w:rsidP="00AE4141">
      <w:pPr>
        <w:pStyle w:val="PolicyHeading1NumberedBody"/>
        <w:numPr>
          <w:ilvl w:val="0"/>
          <w:numId w:val="0"/>
        </w:numPr>
        <w:spacing w:line="276" w:lineRule="auto"/>
        <w:ind w:left="360"/>
      </w:pPr>
    </w:p>
    <w:p w14:paraId="3086442E" w14:textId="77777777" w:rsidR="001622DB" w:rsidRPr="00AE72CD" w:rsidRDefault="00AE4141" w:rsidP="001622DB">
      <w:pPr>
        <w:pStyle w:val="ListParagraph"/>
        <w:suppressAutoHyphens/>
        <w:ind w:left="426" w:right="43"/>
        <w:jc w:val="both"/>
        <w:rPr>
          <w:rFonts w:ascii="Arial" w:hAnsi="Arial" w:cs="Arial"/>
          <w:sz w:val="24"/>
        </w:rPr>
      </w:pPr>
      <w:r w:rsidRPr="00AE72CD">
        <w:rPr>
          <w:rFonts w:ascii="Arial" w:hAnsi="Arial" w:cs="Arial"/>
          <w:sz w:val="24"/>
        </w:rPr>
        <w:t>5.1 FLINTWOOD management and Employees share the responsibility for the management and reduction of the incidences of fatigue in the workplace.</w:t>
      </w:r>
    </w:p>
    <w:p w14:paraId="29F26E22" w14:textId="77777777" w:rsidR="00AE4141" w:rsidRPr="00AE72CD" w:rsidRDefault="00AE4141" w:rsidP="001622DB">
      <w:pPr>
        <w:pStyle w:val="ListParagraph"/>
        <w:suppressAutoHyphens/>
        <w:ind w:left="426" w:right="43"/>
        <w:jc w:val="both"/>
        <w:rPr>
          <w:rFonts w:ascii="Arial" w:hAnsi="Arial" w:cs="Arial"/>
          <w:sz w:val="24"/>
        </w:rPr>
      </w:pPr>
    </w:p>
    <w:p w14:paraId="5477C486" w14:textId="02C6BFD8" w:rsidR="001622DB" w:rsidRPr="00AE72CD" w:rsidRDefault="00AE4141" w:rsidP="001622DB">
      <w:pPr>
        <w:pStyle w:val="ListParagraph"/>
        <w:rPr>
          <w:rFonts w:ascii="Arial" w:hAnsi="Arial" w:cs="Arial"/>
          <w:sz w:val="24"/>
        </w:rPr>
      </w:pPr>
      <w:r w:rsidRPr="00AE72CD">
        <w:rPr>
          <w:rFonts w:ascii="Arial" w:hAnsi="Arial" w:cs="Arial"/>
          <w:sz w:val="24"/>
        </w:rPr>
        <w:lastRenderedPageBreak/>
        <w:t>5.2 Manageme</w:t>
      </w:r>
      <w:r w:rsidR="00B02DE1" w:rsidRPr="00AE72CD">
        <w:rPr>
          <w:rFonts w:ascii="Arial" w:hAnsi="Arial" w:cs="Arial"/>
          <w:sz w:val="24"/>
        </w:rPr>
        <w:t>nt will protect and enable its e</w:t>
      </w:r>
      <w:r w:rsidRPr="00AE72CD">
        <w:rPr>
          <w:rFonts w:ascii="Arial" w:hAnsi="Arial" w:cs="Arial"/>
          <w:sz w:val="24"/>
        </w:rPr>
        <w:t>mployees to take the appropriate levels of sleep through plan</w:t>
      </w:r>
      <w:r w:rsidR="00B02DE1" w:rsidRPr="00AE72CD">
        <w:rPr>
          <w:rFonts w:ascii="Arial" w:hAnsi="Arial" w:cs="Arial"/>
          <w:sz w:val="24"/>
        </w:rPr>
        <w:t>ning, monitoring and review of e</w:t>
      </w:r>
      <w:r w:rsidRPr="00AE72CD">
        <w:rPr>
          <w:rFonts w:ascii="Arial" w:hAnsi="Arial" w:cs="Arial"/>
          <w:sz w:val="24"/>
        </w:rPr>
        <w:t>mployees rostering and shift work.</w:t>
      </w:r>
    </w:p>
    <w:p w14:paraId="11BB2F09" w14:textId="77777777" w:rsidR="0049709D" w:rsidRPr="00AE72CD" w:rsidRDefault="0049709D" w:rsidP="003D420D">
      <w:pPr>
        <w:rPr>
          <w:rFonts w:ascii="Arial" w:hAnsi="Arial" w:cs="Arial"/>
        </w:rPr>
      </w:pPr>
    </w:p>
    <w:p w14:paraId="55082464" w14:textId="77777777" w:rsidR="0049709D" w:rsidRPr="00AE72CD" w:rsidRDefault="0049709D" w:rsidP="001622DB">
      <w:pPr>
        <w:pStyle w:val="ListParagraph"/>
        <w:rPr>
          <w:rFonts w:ascii="Arial" w:hAnsi="Arial" w:cs="Arial"/>
          <w:sz w:val="24"/>
        </w:rPr>
      </w:pPr>
      <w:r w:rsidRPr="00AE72CD">
        <w:rPr>
          <w:rFonts w:ascii="Arial" w:hAnsi="Arial" w:cs="Arial"/>
          <w:sz w:val="24"/>
        </w:rPr>
        <w:t xml:space="preserve">5.4 </w:t>
      </w:r>
      <w:r w:rsidR="00B34EE6" w:rsidRPr="00AE72CD">
        <w:rPr>
          <w:rFonts w:ascii="Arial" w:hAnsi="Arial" w:cs="Arial"/>
          <w:sz w:val="24"/>
        </w:rPr>
        <w:t>E</w:t>
      </w:r>
      <w:r w:rsidRPr="00AE72CD">
        <w:rPr>
          <w:rFonts w:ascii="Arial" w:hAnsi="Arial" w:cs="Arial"/>
          <w:sz w:val="24"/>
        </w:rPr>
        <w:t>mployees need to ensure they get enough sleep and</w:t>
      </w:r>
      <w:r w:rsidR="00B02DE1" w:rsidRPr="00AE72CD">
        <w:rPr>
          <w:rFonts w:ascii="Arial" w:hAnsi="Arial" w:cs="Arial"/>
          <w:sz w:val="24"/>
        </w:rPr>
        <w:t xml:space="preserve"> come to work fresh and alert. E</w:t>
      </w:r>
      <w:r w:rsidRPr="00AE72CD">
        <w:rPr>
          <w:rFonts w:ascii="Arial" w:hAnsi="Arial" w:cs="Arial"/>
          <w:sz w:val="24"/>
        </w:rPr>
        <w:t>mployees will only achieve this where they actively self-monitor their own work and rest hours.</w:t>
      </w:r>
    </w:p>
    <w:p w14:paraId="3468EC0B" w14:textId="77777777" w:rsidR="0049709D" w:rsidRPr="00AE72CD" w:rsidRDefault="0049709D" w:rsidP="001622DB">
      <w:pPr>
        <w:pStyle w:val="ListParagraph"/>
        <w:rPr>
          <w:rFonts w:ascii="Arial" w:hAnsi="Arial" w:cs="Arial"/>
          <w:sz w:val="24"/>
        </w:rPr>
      </w:pPr>
    </w:p>
    <w:p w14:paraId="38342210" w14:textId="77777777" w:rsidR="0049709D" w:rsidRPr="00AE72CD" w:rsidRDefault="0049709D" w:rsidP="001622DB">
      <w:pPr>
        <w:pStyle w:val="ListParagraph"/>
        <w:rPr>
          <w:rFonts w:ascii="Arial" w:hAnsi="Arial" w:cs="Arial"/>
          <w:sz w:val="24"/>
        </w:rPr>
      </w:pPr>
      <w:r w:rsidRPr="00AE72CD">
        <w:rPr>
          <w:rFonts w:ascii="Arial" w:hAnsi="Arial" w:cs="Arial"/>
          <w:sz w:val="24"/>
        </w:rPr>
        <w:t>5.5 Employees must disclose their other places of work where they directly transfer from that place of work in order to take up additional employment within Flintwood.</w:t>
      </w:r>
      <w:r w:rsidR="00B02DE1" w:rsidRPr="00AE72CD">
        <w:rPr>
          <w:rFonts w:ascii="Arial" w:hAnsi="Arial" w:cs="Arial"/>
          <w:sz w:val="24"/>
        </w:rPr>
        <w:t xml:space="preserve"> All secondary employment must be disclosed and risk assessed.</w:t>
      </w:r>
    </w:p>
    <w:p w14:paraId="430B7EE7" w14:textId="77777777" w:rsidR="0049709D" w:rsidRPr="00AE72CD" w:rsidRDefault="0049709D" w:rsidP="001622DB">
      <w:pPr>
        <w:pStyle w:val="ListParagraph"/>
        <w:rPr>
          <w:rFonts w:ascii="Arial" w:hAnsi="Arial" w:cs="Arial"/>
          <w:sz w:val="24"/>
        </w:rPr>
      </w:pPr>
    </w:p>
    <w:p w14:paraId="2B103B83" w14:textId="64D219FE" w:rsidR="0049709D" w:rsidRPr="00AE72CD" w:rsidRDefault="0049709D" w:rsidP="0049709D">
      <w:pPr>
        <w:kinsoku w:val="0"/>
        <w:overflowPunct w:val="0"/>
        <w:autoSpaceDE w:val="0"/>
        <w:autoSpaceDN w:val="0"/>
        <w:adjustRightInd w:val="0"/>
        <w:ind w:left="720" w:right="280"/>
        <w:jc w:val="both"/>
        <w:rPr>
          <w:rFonts w:ascii="Arial" w:hAnsi="Arial" w:cs="Arial"/>
        </w:rPr>
      </w:pPr>
      <w:r w:rsidRPr="00AE72CD">
        <w:rPr>
          <w:rFonts w:ascii="Arial" w:hAnsi="Arial" w:cs="Arial"/>
        </w:rPr>
        <w:t>5.6 Employees cannot transfer from one Flintwood site to any other Flintwood site where the continuous work period exceeds 10 hours and w</w:t>
      </w:r>
      <w:r w:rsidR="00FD7946" w:rsidRPr="00AE72CD">
        <w:rPr>
          <w:rFonts w:ascii="Arial" w:hAnsi="Arial" w:cs="Arial"/>
        </w:rPr>
        <w:t>h</w:t>
      </w:r>
      <w:r w:rsidRPr="00AE72CD">
        <w:rPr>
          <w:rFonts w:ascii="Arial" w:hAnsi="Arial" w:cs="Arial"/>
        </w:rPr>
        <w:t xml:space="preserve">ere no regulatory breaks have been or are </w:t>
      </w:r>
      <w:r w:rsidR="00B91356" w:rsidRPr="00AE72CD">
        <w:rPr>
          <w:rFonts w:ascii="Arial" w:hAnsi="Arial" w:cs="Arial"/>
        </w:rPr>
        <w:t xml:space="preserve">able </w:t>
      </w:r>
      <w:r w:rsidRPr="00AE72CD">
        <w:rPr>
          <w:rFonts w:ascii="Arial" w:hAnsi="Arial" w:cs="Arial"/>
        </w:rPr>
        <w:t>to be taken.</w:t>
      </w:r>
    </w:p>
    <w:p w14:paraId="28C7D108" w14:textId="77777777" w:rsidR="0049709D" w:rsidRPr="00AE72CD" w:rsidRDefault="0049709D" w:rsidP="0049709D">
      <w:pPr>
        <w:kinsoku w:val="0"/>
        <w:overflowPunct w:val="0"/>
        <w:autoSpaceDE w:val="0"/>
        <w:autoSpaceDN w:val="0"/>
        <w:adjustRightInd w:val="0"/>
        <w:ind w:left="720" w:right="280"/>
        <w:jc w:val="both"/>
        <w:rPr>
          <w:rFonts w:ascii="Arial" w:hAnsi="Arial" w:cs="Arial"/>
        </w:rPr>
      </w:pPr>
    </w:p>
    <w:p w14:paraId="14AADB7A" w14:textId="77777777" w:rsidR="0049709D" w:rsidRPr="00AE72CD" w:rsidRDefault="0049709D" w:rsidP="0049709D">
      <w:pPr>
        <w:kinsoku w:val="0"/>
        <w:overflowPunct w:val="0"/>
        <w:autoSpaceDE w:val="0"/>
        <w:autoSpaceDN w:val="0"/>
        <w:adjustRightInd w:val="0"/>
        <w:ind w:left="720" w:right="280"/>
        <w:jc w:val="both"/>
        <w:rPr>
          <w:rFonts w:ascii="Arial" w:hAnsi="Arial" w:cs="Arial"/>
        </w:rPr>
      </w:pPr>
      <w:r w:rsidRPr="00AE72CD">
        <w:rPr>
          <w:rFonts w:ascii="Arial" w:hAnsi="Arial" w:cs="Arial"/>
        </w:rPr>
        <w:t>5.7 Annual Leave must be appropriately managed and taken, not accrued without appropriate</w:t>
      </w:r>
      <w:r w:rsidR="00B02DE1" w:rsidRPr="00AE72CD">
        <w:rPr>
          <w:rFonts w:ascii="Arial" w:hAnsi="Arial" w:cs="Arial"/>
        </w:rPr>
        <w:t>/approved</w:t>
      </w:r>
      <w:r w:rsidRPr="00AE72CD">
        <w:rPr>
          <w:rFonts w:ascii="Arial" w:hAnsi="Arial" w:cs="Arial"/>
        </w:rPr>
        <w:t xml:space="preserve"> reason.</w:t>
      </w:r>
      <w:r w:rsidR="00B34EE6" w:rsidRPr="00AE72CD">
        <w:rPr>
          <w:rFonts w:ascii="Arial" w:hAnsi="Arial" w:cs="Arial"/>
        </w:rPr>
        <w:t xml:space="preserve"> E</w:t>
      </w:r>
      <w:r w:rsidR="00530797" w:rsidRPr="00AE72CD">
        <w:rPr>
          <w:rFonts w:ascii="Arial" w:hAnsi="Arial" w:cs="Arial"/>
        </w:rPr>
        <w:t xml:space="preserve">mployees are encouraged to take their entitled leave on an annual basis. </w:t>
      </w:r>
    </w:p>
    <w:p w14:paraId="79B29A4E" w14:textId="77777777" w:rsidR="00AE4141" w:rsidRPr="00AE72CD" w:rsidRDefault="0049709D" w:rsidP="0049709D">
      <w:pPr>
        <w:pStyle w:val="ListParagraph"/>
      </w:pPr>
      <w:r w:rsidRPr="00AE72CD">
        <w:tab/>
      </w:r>
    </w:p>
    <w:p w14:paraId="53D68B03" w14:textId="77777777" w:rsidR="008E732E" w:rsidRPr="00AE72CD" w:rsidRDefault="008E732E" w:rsidP="008E732E">
      <w:pPr>
        <w:pStyle w:val="PolicyHeading1NumberedBody"/>
        <w:spacing w:line="276" w:lineRule="auto"/>
      </w:pPr>
      <w:r w:rsidRPr="00AE72CD">
        <w:t>RESPONSIBILITIES</w:t>
      </w:r>
    </w:p>
    <w:p w14:paraId="689FC27C" w14:textId="77777777" w:rsidR="001622DB" w:rsidRPr="00AE72CD" w:rsidRDefault="001622DB" w:rsidP="008E732E">
      <w:pPr>
        <w:pStyle w:val="PolicyHeading2Unnumbered"/>
        <w:numPr>
          <w:ilvl w:val="0"/>
          <w:numId w:val="2"/>
        </w:numPr>
        <w:ind w:left="357" w:hanging="357"/>
      </w:pPr>
      <w:r w:rsidRPr="00AE72CD">
        <w:t>Employee</w:t>
      </w:r>
    </w:p>
    <w:p w14:paraId="53F50B6D" w14:textId="77777777" w:rsidR="0049709D" w:rsidRPr="00AE72CD" w:rsidRDefault="00B34EE6" w:rsidP="00912798">
      <w:pPr>
        <w:pStyle w:val="PolicyHeading2Unnumbered"/>
        <w:numPr>
          <w:ilvl w:val="0"/>
          <w:numId w:val="10"/>
        </w:numPr>
        <w:ind w:left="709" w:hanging="283"/>
        <w:rPr>
          <w:rFonts w:eastAsia="Times New Roman" w:cs="Arial"/>
          <w:b w:val="0"/>
          <w:bCs w:val="0"/>
          <w:szCs w:val="20"/>
        </w:rPr>
      </w:pPr>
      <w:r w:rsidRPr="00AE72CD">
        <w:rPr>
          <w:rFonts w:eastAsia="Times New Roman" w:cs="Arial"/>
          <w:b w:val="0"/>
          <w:bCs w:val="0"/>
          <w:szCs w:val="20"/>
        </w:rPr>
        <w:t>P</w:t>
      </w:r>
      <w:r w:rsidR="0049709D" w:rsidRPr="00AE72CD">
        <w:rPr>
          <w:rFonts w:eastAsia="Times New Roman" w:cs="Arial"/>
          <w:b w:val="0"/>
          <w:bCs w:val="0"/>
          <w:szCs w:val="20"/>
        </w:rPr>
        <w:t>articipating in risk management processes;</w:t>
      </w:r>
    </w:p>
    <w:p w14:paraId="7AC44284" w14:textId="77777777" w:rsidR="0049709D" w:rsidRPr="00AE72CD" w:rsidRDefault="00B34EE6" w:rsidP="00912798">
      <w:pPr>
        <w:pStyle w:val="PolicyHeading2Unnumbered"/>
        <w:numPr>
          <w:ilvl w:val="0"/>
          <w:numId w:val="10"/>
        </w:numPr>
        <w:ind w:left="709" w:hanging="283"/>
        <w:rPr>
          <w:rFonts w:eastAsia="Times New Roman" w:cs="Arial"/>
          <w:b w:val="0"/>
          <w:bCs w:val="0"/>
          <w:szCs w:val="20"/>
        </w:rPr>
      </w:pPr>
      <w:r w:rsidRPr="00AE72CD">
        <w:rPr>
          <w:rFonts w:eastAsia="Times New Roman" w:cs="Arial"/>
          <w:b w:val="0"/>
          <w:bCs w:val="0"/>
          <w:szCs w:val="20"/>
        </w:rPr>
        <w:t>P</w:t>
      </w:r>
      <w:r w:rsidR="0049709D" w:rsidRPr="00AE72CD">
        <w:rPr>
          <w:rFonts w:eastAsia="Times New Roman" w:cs="Arial"/>
          <w:b w:val="0"/>
          <w:bCs w:val="0"/>
          <w:szCs w:val="20"/>
        </w:rPr>
        <w:t>articipating in education and training in order to gain an understanding of fatigue;</w:t>
      </w:r>
    </w:p>
    <w:p w14:paraId="5638ADB3" w14:textId="77777777" w:rsidR="0049709D" w:rsidRPr="00AE72CD" w:rsidRDefault="00B34EE6" w:rsidP="00912798">
      <w:pPr>
        <w:pStyle w:val="PolicyHeading2Unnumbered"/>
        <w:numPr>
          <w:ilvl w:val="0"/>
          <w:numId w:val="10"/>
        </w:numPr>
        <w:ind w:left="709" w:hanging="283"/>
        <w:rPr>
          <w:rFonts w:eastAsia="Times New Roman" w:cs="Arial"/>
          <w:b w:val="0"/>
          <w:bCs w:val="0"/>
          <w:szCs w:val="20"/>
        </w:rPr>
      </w:pPr>
      <w:r w:rsidRPr="00AE72CD">
        <w:rPr>
          <w:rFonts w:eastAsia="Times New Roman" w:cs="Arial"/>
          <w:b w:val="0"/>
          <w:bCs w:val="0"/>
          <w:szCs w:val="20"/>
        </w:rPr>
        <w:t>R</w:t>
      </w:r>
      <w:r w:rsidR="0049709D" w:rsidRPr="00AE72CD">
        <w:rPr>
          <w:rFonts w:eastAsia="Times New Roman" w:cs="Arial"/>
          <w:b w:val="0"/>
          <w:bCs w:val="0"/>
          <w:szCs w:val="20"/>
        </w:rPr>
        <w:t>ecognising signs of fatigue and reporting these to their manager;</w:t>
      </w:r>
    </w:p>
    <w:p w14:paraId="576C8DA8" w14:textId="77777777" w:rsidR="0049709D" w:rsidRPr="00AE72CD" w:rsidRDefault="00B34EE6" w:rsidP="00912798">
      <w:pPr>
        <w:pStyle w:val="PolicyHeading2Unnumbered"/>
        <w:numPr>
          <w:ilvl w:val="0"/>
          <w:numId w:val="10"/>
        </w:numPr>
        <w:ind w:left="709" w:hanging="283"/>
        <w:rPr>
          <w:rFonts w:eastAsia="Times New Roman" w:cs="Arial"/>
          <w:b w:val="0"/>
          <w:bCs w:val="0"/>
          <w:szCs w:val="20"/>
        </w:rPr>
      </w:pPr>
      <w:r w:rsidRPr="00AE72CD">
        <w:rPr>
          <w:rFonts w:eastAsia="Times New Roman" w:cs="Arial"/>
          <w:b w:val="0"/>
          <w:bCs w:val="0"/>
          <w:szCs w:val="20"/>
        </w:rPr>
        <w:t>U</w:t>
      </w:r>
      <w:r w:rsidR="0049709D" w:rsidRPr="00AE72CD">
        <w:rPr>
          <w:rFonts w:eastAsia="Times New Roman" w:cs="Arial"/>
          <w:b w:val="0"/>
          <w:bCs w:val="0"/>
          <w:szCs w:val="20"/>
        </w:rPr>
        <w:t>sing time away from work to recuperate in order to be fit and able for their next shift; and</w:t>
      </w:r>
    </w:p>
    <w:p w14:paraId="7A8359DE" w14:textId="77777777" w:rsidR="0049709D" w:rsidRPr="00AE72CD" w:rsidRDefault="00912798" w:rsidP="00912798">
      <w:pPr>
        <w:pStyle w:val="PolicyHeading2Unnumbered"/>
        <w:numPr>
          <w:ilvl w:val="0"/>
          <w:numId w:val="10"/>
        </w:numPr>
        <w:ind w:left="709" w:hanging="283"/>
        <w:rPr>
          <w:rFonts w:eastAsia="Times New Roman" w:cs="Arial"/>
          <w:b w:val="0"/>
          <w:bCs w:val="0"/>
          <w:szCs w:val="20"/>
        </w:rPr>
      </w:pPr>
      <w:r w:rsidRPr="00AE72CD">
        <w:rPr>
          <w:rFonts w:eastAsia="Times New Roman" w:cs="Arial"/>
          <w:b w:val="0"/>
          <w:bCs w:val="0"/>
          <w:szCs w:val="20"/>
        </w:rPr>
        <w:t>Avoiding</w:t>
      </w:r>
      <w:r w:rsidR="0049709D" w:rsidRPr="00AE72CD">
        <w:rPr>
          <w:rFonts w:eastAsia="Times New Roman" w:cs="Arial"/>
          <w:b w:val="0"/>
          <w:bCs w:val="0"/>
          <w:szCs w:val="20"/>
        </w:rPr>
        <w:t xml:space="preserve"> behaviours and practices that contribute to fatigue, e.g. not using time off work to recuperate.</w:t>
      </w:r>
    </w:p>
    <w:p w14:paraId="1C1B92CF" w14:textId="77777777" w:rsidR="00B02DE1" w:rsidRPr="00AE72CD" w:rsidRDefault="00B02DE1" w:rsidP="00B02DE1">
      <w:pPr>
        <w:pStyle w:val="PolicyBodyBullets"/>
      </w:pPr>
      <w:r w:rsidRPr="00AE72CD">
        <w:t>Disclosing secondary employment</w:t>
      </w:r>
    </w:p>
    <w:p w14:paraId="68DBDE19" w14:textId="77777777" w:rsidR="00B02DE1" w:rsidRPr="00AE72CD" w:rsidRDefault="00B02DE1" w:rsidP="00B02DE1">
      <w:pPr>
        <w:pStyle w:val="PolicyBodyBullets"/>
        <w:numPr>
          <w:ilvl w:val="0"/>
          <w:numId w:val="0"/>
        </w:numPr>
        <w:ind w:left="717"/>
      </w:pPr>
    </w:p>
    <w:p w14:paraId="55E4492F" w14:textId="77777777" w:rsidR="008E732E" w:rsidRPr="00AE72CD" w:rsidRDefault="008E732E" w:rsidP="008E732E">
      <w:pPr>
        <w:pStyle w:val="PolicyHeading2Unnumbered"/>
        <w:numPr>
          <w:ilvl w:val="0"/>
          <w:numId w:val="2"/>
        </w:numPr>
        <w:ind w:left="357" w:hanging="357"/>
      </w:pPr>
      <w:r w:rsidRPr="00AE72CD">
        <w:t>Service Manager</w:t>
      </w:r>
    </w:p>
    <w:p w14:paraId="31D883B1" w14:textId="77777777" w:rsidR="00912798" w:rsidRPr="00AE72CD" w:rsidRDefault="00912798" w:rsidP="00912798">
      <w:pPr>
        <w:pStyle w:val="PolicyBodyBullets"/>
        <w:numPr>
          <w:ilvl w:val="0"/>
          <w:numId w:val="0"/>
        </w:numPr>
        <w:ind w:left="717"/>
      </w:pPr>
    </w:p>
    <w:p w14:paraId="5A40DB31" w14:textId="77777777" w:rsidR="00912798" w:rsidRPr="00AE72CD" w:rsidRDefault="00912798" w:rsidP="00912798">
      <w:pPr>
        <w:pStyle w:val="PolicyBodyBullets"/>
      </w:pPr>
      <w:r w:rsidRPr="00AE72CD">
        <w:tab/>
      </w:r>
      <w:r w:rsidR="003D14CE" w:rsidRPr="00AE72CD">
        <w:t>I</w:t>
      </w:r>
      <w:r w:rsidRPr="00AE72CD">
        <w:t>dentifying and assessing risks with the potential to result in driver fatigue;</w:t>
      </w:r>
    </w:p>
    <w:p w14:paraId="0525C1FE" w14:textId="77777777" w:rsidR="00912798" w:rsidRPr="00AE72CD" w:rsidRDefault="003D14CE" w:rsidP="00912798">
      <w:pPr>
        <w:pStyle w:val="PolicyBodyBullets"/>
      </w:pPr>
      <w:r w:rsidRPr="00AE72CD">
        <w:tab/>
        <w:t>P</w:t>
      </w:r>
      <w:r w:rsidR="00912798" w:rsidRPr="00AE72CD">
        <w:t>roviding opportunities for employees to obtain adequate rest from work;</w:t>
      </w:r>
    </w:p>
    <w:p w14:paraId="148FE2ED" w14:textId="77777777" w:rsidR="00912798" w:rsidRPr="00AE72CD" w:rsidRDefault="003D14CE" w:rsidP="00912798">
      <w:pPr>
        <w:pStyle w:val="PolicyBodyBullets"/>
      </w:pPr>
      <w:r w:rsidRPr="00AE72CD">
        <w:tab/>
        <w:t>M</w:t>
      </w:r>
      <w:r w:rsidR="00912798" w:rsidRPr="00AE72CD">
        <w:t>onitoring workloads, work patterns and rostering arrangements to ensure that employees are not put at risk due to fatigue;</w:t>
      </w:r>
    </w:p>
    <w:p w14:paraId="6F0153AB" w14:textId="77777777" w:rsidR="00912798" w:rsidRPr="00AE72CD" w:rsidRDefault="003D14CE" w:rsidP="00912798">
      <w:pPr>
        <w:pStyle w:val="PolicyBodyBullets"/>
      </w:pPr>
      <w:r w:rsidRPr="00AE72CD">
        <w:tab/>
        <w:t>P</w:t>
      </w:r>
      <w:r w:rsidR="00912798" w:rsidRPr="00AE72CD">
        <w:t>roviding information, instruction and training about the risks involved with fatigue; and</w:t>
      </w:r>
    </w:p>
    <w:p w14:paraId="20F3C275" w14:textId="77777777" w:rsidR="00912798" w:rsidRPr="00AE72CD" w:rsidRDefault="003D14CE" w:rsidP="00912798">
      <w:pPr>
        <w:pStyle w:val="PolicyBodyBullets"/>
      </w:pPr>
      <w:r w:rsidRPr="00AE72CD">
        <w:lastRenderedPageBreak/>
        <w:tab/>
        <w:t>R</w:t>
      </w:r>
      <w:r w:rsidR="00912798" w:rsidRPr="00AE72CD">
        <w:t>eferring employees with non-work-related fatigue to the Employee Assistance Program</w:t>
      </w:r>
    </w:p>
    <w:p w14:paraId="4277B561" w14:textId="77777777" w:rsidR="00912798" w:rsidRPr="00AE72CD" w:rsidRDefault="00912798" w:rsidP="00912798">
      <w:pPr>
        <w:pStyle w:val="PolicyBodyBullets"/>
        <w:numPr>
          <w:ilvl w:val="0"/>
          <w:numId w:val="0"/>
        </w:numPr>
        <w:ind w:left="717"/>
        <w:rPr>
          <w:b/>
        </w:rPr>
      </w:pPr>
    </w:p>
    <w:p w14:paraId="057630E5" w14:textId="77777777" w:rsidR="008E732E" w:rsidRPr="00AE72CD" w:rsidRDefault="008E732E" w:rsidP="00912798">
      <w:pPr>
        <w:pStyle w:val="PolicyBodyBullets"/>
        <w:numPr>
          <w:ilvl w:val="0"/>
          <w:numId w:val="0"/>
        </w:numPr>
        <w:ind w:left="717" w:hanging="433"/>
        <w:rPr>
          <w:b/>
        </w:rPr>
      </w:pPr>
      <w:r w:rsidRPr="00AE72CD">
        <w:rPr>
          <w:b/>
        </w:rPr>
        <w:t>General Manager</w:t>
      </w:r>
    </w:p>
    <w:p w14:paraId="223E6ED3" w14:textId="77777777" w:rsidR="008E732E" w:rsidRPr="00AE72CD" w:rsidRDefault="002569FB" w:rsidP="002569FB">
      <w:pPr>
        <w:pStyle w:val="PolicyBodyBullets"/>
        <w:ind w:left="709" w:hanging="283"/>
      </w:pPr>
      <w:r w:rsidRPr="00AE72CD">
        <w:t>Check that the actions above are implemented.</w:t>
      </w:r>
    </w:p>
    <w:p w14:paraId="502E5FE1" w14:textId="77777777" w:rsidR="00912798" w:rsidRPr="00AE72CD" w:rsidRDefault="00912798" w:rsidP="002569FB">
      <w:pPr>
        <w:pStyle w:val="PolicyBodyBullets"/>
        <w:ind w:left="709" w:hanging="283"/>
      </w:pPr>
      <w:r w:rsidRPr="00AE72CD">
        <w:t>Monitor Service Managers</w:t>
      </w:r>
    </w:p>
    <w:p w14:paraId="1E2122AB" w14:textId="77777777" w:rsidR="002569FB" w:rsidRPr="00AE72CD" w:rsidRDefault="002569FB" w:rsidP="002569FB">
      <w:pPr>
        <w:pStyle w:val="PolicyBodyBullets"/>
        <w:numPr>
          <w:ilvl w:val="0"/>
          <w:numId w:val="0"/>
        </w:numPr>
        <w:ind w:left="709"/>
      </w:pPr>
    </w:p>
    <w:p w14:paraId="783BAB1F" w14:textId="77777777" w:rsidR="008E732E" w:rsidRPr="00AE72CD" w:rsidRDefault="008E732E" w:rsidP="008E732E">
      <w:pPr>
        <w:pStyle w:val="PolicyHeading2Unnumbered"/>
        <w:numPr>
          <w:ilvl w:val="0"/>
          <w:numId w:val="2"/>
        </w:numPr>
        <w:ind w:left="357" w:hanging="357"/>
      </w:pPr>
      <w:r w:rsidRPr="00AE72CD">
        <w:t>CEO</w:t>
      </w:r>
    </w:p>
    <w:p w14:paraId="2420BC86" w14:textId="77777777" w:rsidR="008E732E" w:rsidRPr="00AE72CD" w:rsidRDefault="00912798" w:rsidP="002569FB">
      <w:pPr>
        <w:pStyle w:val="PolicyBodyBullets"/>
        <w:numPr>
          <w:ilvl w:val="0"/>
          <w:numId w:val="4"/>
        </w:numPr>
        <w:ind w:left="709" w:hanging="283"/>
      </w:pPr>
      <w:r w:rsidRPr="00AE72CD">
        <w:t>Check that actions above are implemented</w:t>
      </w:r>
    </w:p>
    <w:p w14:paraId="16ED28B0" w14:textId="77777777" w:rsidR="00912798" w:rsidRPr="00AE72CD" w:rsidRDefault="00912798" w:rsidP="002569FB">
      <w:pPr>
        <w:pStyle w:val="PolicyBodyBullets"/>
        <w:numPr>
          <w:ilvl w:val="0"/>
          <w:numId w:val="4"/>
        </w:numPr>
        <w:ind w:left="709" w:hanging="283"/>
      </w:pPr>
      <w:r w:rsidRPr="00AE72CD">
        <w:t>Monitor General Managers</w:t>
      </w:r>
    </w:p>
    <w:p w14:paraId="233EB0C5" w14:textId="77777777" w:rsidR="008E732E" w:rsidRPr="00AE72CD" w:rsidRDefault="008E732E" w:rsidP="008E732E">
      <w:pPr>
        <w:pStyle w:val="PolicyHeading1UnnumberedBody"/>
      </w:pPr>
      <w:r w:rsidRPr="00AE72CD">
        <w:t>CHANGE HISTORY</w:t>
      </w:r>
    </w:p>
    <w:p w14:paraId="37103E53" w14:textId="77777777" w:rsidR="008E732E" w:rsidRPr="00AE72CD" w:rsidRDefault="008E732E" w:rsidP="008E732E">
      <w:pPr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36"/>
        <w:gridCol w:w="2268"/>
        <w:gridCol w:w="1843"/>
        <w:gridCol w:w="3203"/>
      </w:tblGrid>
      <w:tr w:rsidR="00AE72CD" w:rsidRPr="00AE72CD" w14:paraId="3762419E" w14:textId="77777777" w:rsidTr="00573DC4">
        <w:trPr>
          <w:tblHeader/>
        </w:trPr>
        <w:tc>
          <w:tcPr>
            <w:tcW w:w="1336" w:type="dxa"/>
            <w:shd w:val="clear" w:color="auto" w:fill="7F7F7F" w:themeFill="text1" w:themeFillTint="80"/>
          </w:tcPr>
          <w:p w14:paraId="0533B7F1" w14:textId="77777777" w:rsidR="008E732E" w:rsidRPr="00AE72CD" w:rsidRDefault="008E732E" w:rsidP="00573DC4">
            <w:pPr>
              <w:pStyle w:val="PolicyBodyTable"/>
            </w:pPr>
            <w:r w:rsidRPr="00AE72CD">
              <w:t>Version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14:paraId="2C245E76" w14:textId="77777777" w:rsidR="008E732E" w:rsidRPr="00AE72CD" w:rsidRDefault="008E732E" w:rsidP="00573DC4">
            <w:pPr>
              <w:pStyle w:val="PolicyBodyTable"/>
            </w:pPr>
            <w:r w:rsidRPr="00AE72CD">
              <w:t>Release / Review date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14:paraId="0A489A67" w14:textId="77777777" w:rsidR="008E732E" w:rsidRPr="00AE72CD" w:rsidRDefault="008E732E" w:rsidP="00573DC4">
            <w:pPr>
              <w:pStyle w:val="PolicyBodyTable"/>
            </w:pPr>
            <w:r w:rsidRPr="00AE72CD">
              <w:t>Author / Reviewer</w:t>
            </w:r>
          </w:p>
        </w:tc>
        <w:tc>
          <w:tcPr>
            <w:tcW w:w="3203" w:type="dxa"/>
            <w:shd w:val="clear" w:color="auto" w:fill="7F7F7F" w:themeFill="text1" w:themeFillTint="80"/>
          </w:tcPr>
          <w:p w14:paraId="1E582A7A" w14:textId="77777777" w:rsidR="008E732E" w:rsidRPr="00AE72CD" w:rsidRDefault="008E732E" w:rsidP="00573DC4">
            <w:pPr>
              <w:pStyle w:val="PolicyBodyTable"/>
            </w:pPr>
            <w:r w:rsidRPr="00AE72CD">
              <w:t>Change details</w:t>
            </w:r>
          </w:p>
        </w:tc>
      </w:tr>
      <w:tr w:rsidR="00AE72CD" w:rsidRPr="00AE72CD" w14:paraId="01B84F19" w14:textId="77777777" w:rsidTr="00573DC4">
        <w:tc>
          <w:tcPr>
            <w:tcW w:w="1336" w:type="dxa"/>
          </w:tcPr>
          <w:p w14:paraId="4F7C262F" w14:textId="77777777" w:rsidR="008E732E" w:rsidRPr="00AE72CD" w:rsidRDefault="008E732E" w:rsidP="0057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D1C678" w14:textId="77777777" w:rsidR="008E732E" w:rsidRPr="00AE72CD" w:rsidRDefault="008E732E" w:rsidP="0057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B7CAED" w14:textId="77777777" w:rsidR="008E732E" w:rsidRPr="00AE72CD" w:rsidRDefault="008E732E" w:rsidP="0057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3" w:type="dxa"/>
          </w:tcPr>
          <w:p w14:paraId="6FF0BE10" w14:textId="77777777" w:rsidR="008E732E" w:rsidRPr="00AE72CD" w:rsidRDefault="008E732E" w:rsidP="00573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2CD" w:rsidRPr="00AE72CD" w14:paraId="6E03D69F" w14:textId="77777777" w:rsidTr="00573DC4">
        <w:tc>
          <w:tcPr>
            <w:tcW w:w="1336" w:type="dxa"/>
          </w:tcPr>
          <w:p w14:paraId="16BF191F" w14:textId="77777777" w:rsidR="001622DB" w:rsidRPr="00AE72CD" w:rsidRDefault="001622DB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0.1</w:t>
            </w:r>
          </w:p>
        </w:tc>
        <w:tc>
          <w:tcPr>
            <w:tcW w:w="2268" w:type="dxa"/>
          </w:tcPr>
          <w:p w14:paraId="3C338618" w14:textId="77777777" w:rsidR="001622DB" w:rsidRPr="00AE72CD" w:rsidRDefault="003D14CE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September 2021</w:t>
            </w:r>
          </w:p>
        </w:tc>
        <w:tc>
          <w:tcPr>
            <w:tcW w:w="1843" w:type="dxa"/>
          </w:tcPr>
          <w:p w14:paraId="1FAC0A4E" w14:textId="77777777" w:rsidR="001622DB" w:rsidRPr="00AE72CD" w:rsidRDefault="00912798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Racheal Neal</w:t>
            </w:r>
          </w:p>
        </w:tc>
        <w:tc>
          <w:tcPr>
            <w:tcW w:w="3203" w:type="dxa"/>
          </w:tcPr>
          <w:p w14:paraId="26142608" w14:textId="77777777" w:rsidR="001622DB" w:rsidRPr="00AE72CD" w:rsidRDefault="00B02DE1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New</w:t>
            </w:r>
            <w:r w:rsidR="003D14CE" w:rsidRPr="00AE72CD">
              <w:rPr>
                <w:rFonts w:ascii="Gill Sans MT" w:hAnsi="Gill Sans MT"/>
                <w:sz w:val="20"/>
                <w:szCs w:val="16"/>
              </w:rPr>
              <w:t xml:space="preserve"> Policy</w:t>
            </w:r>
          </w:p>
        </w:tc>
      </w:tr>
      <w:tr w:rsidR="00AE72CD" w:rsidRPr="00AE72CD" w14:paraId="2DB7AC2E" w14:textId="77777777" w:rsidTr="00573DC4">
        <w:tc>
          <w:tcPr>
            <w:tcW w:w="1336" w:type="dxa"/>
          </w:tcPr>
          <w:p w14:paraId="244D8A2C" w14:textId="77777777" w:rsidR="00D86850" w:rsidRPr="00AE72CD" w:rsidRDefault="00D86850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0.2</w:t>
            </w:r>
          </w:p>
        </w:tc>
        <w:tc>
          <w:tcPr>
            <w:tcW w:w="2268" w:type="dxa"/>
          </w:tcPr>
          <w:p w14:paraId="4DBA8FED" w14:textId="77777777" w:rsidR="00D86850" w:rsidRPr="00AE72CD" w:rsidRDefault="00D86850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September 2021</w:t>
            </w:r>
          </w:p>
        </w:tc>
        <w:tc>
          <w:tcPr>
            <w:tcW w:w="1843" w:type="dxa"/>
          </w:tcPr>
          <w:p w14:paraId="09305E0E" w14:textId="77777777" w:rsidR="00D86850" w:rsidRPr="00AE72CD" w:rsidRDefault="00D86850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Policy Committee</w:t>
            </w:r>
          </w:p>
        </w:tc>
        <w:tc>
          <w:tcPr>
            <w:tcW w:w="3203" w:type="dxa"/>
          </w:tcPr>
          <w:p w14:paraId="1F94E23B" w14:textId="77777777" w:rsidR="00D86850" w:rsidRPr="00AE72CD" w:rsidRDefault="00D86850" w:rsidP="001622DB">
            <w:pPr>
              <w:jc w:val="both"/>
              <w:rPr>
                <w:rFonts w:ascii="Gill Sans MT" w:hAnsi="Gill Sans MT"/>
                <w:sz w:val="20"/>
                <w:szCs w:val="16"/>
              </w:rPr>
            </w:pPr>
            <w:r w:rsidRPr="00AE72CD">
              <w:rPr>
                <w:rFonts w:ascii="Gill Sans MT" w:hAnsi="Gill Sans MT"/>
                <w:sz w:val="20"/>
                <w:szCs w:val="16"/>
              </w:rPr>
              <w:t>Policy read and approved</w:t>
            </w:r>
          </w:p>
        </w:tc>
      </w:tr>
    </w:tbl>
    <w:p w14:paraId="7A5523C5" w14:textId="77777777" w:rsidR="00F32A83" w:rsidRPr="0049709D" w:rsidRDefault="00F32A83">
      <w:pPr>
        <w:rPr>
          <w:color w:val="FF0000"/>
        </w:rPr>
      </w:pPr>
    </w:p>
    <w:sectPr w:rsidR="00F32A83" w:rsidRPr="0049709D" w:rsidSect="00802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E"/>
    <w:multiLevelType w:val="singleLevel"/>
    <w:tmpl w:val="0000005E"/>
    <w:name w:val="WW8Num22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21F1F55"/>
    <w:multiLevelType w:val="hybridMultilevel"/>
    <w:tmpl w:val="4DD8AB6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400148C"/>
    <w:multiLevelType w:val="multilevel"/>
    <w:tmpl w:val="09F09A70"/>
    <w:lvl w:ilvl="0">
      <w:start w:val="4"/>
      <w:numFmt w:val="decimal"/>
      <w:pStyle w:val="PolicyHeading2Un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4E0F50"/>
    <w:multiLevelType w:val="multilevel"/>
    <w:tmpl w:val="441C30DA"/>
    <w:lvl w:ilvl="0">
      <w:start w:val="1"/>
      <w:numFmt w:val="bullet"/>
      <w:pStyle w:val="PolicyBodyBullets"/>
      <w:lvlText w:val=""/>
      <w:lvlJc w:val="left"/>
      <w:pPr>
        <w:ind w:left="717" w:hanging="26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4" w15:restartNumberingAfterBreak="0">
    <w:nsid w:val="47735C74"/>
    <w:multiLevelType w:val="hybridMultilevel"/>
    <w:tmpl w:val="F8740682"/>
    <w:lvl w:ilvl="0" w:tplc="2AF66A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CCD"/>
    <w:multiLevelType w:val="hybridMultilevel"/>
    <w:tmpl w:val="88A6DD68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A501508"/>
    <w:multiLevelType w:val="multilevel"/>
    <w:tmpl w:val="94724C0C"/>
    <w:lvl w:ilvl="0">
      <w:start w:val="1"/>
      <w:numFmt w:val="decimal"/>
      <w:pStyle w:val="PolicyHeading1NumberedBod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licyBodyNumbered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9056320"/>
    <w:multiLevelType w:val="multilevel"/>
    <w:tmpl w:val="FD401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5DD615F"/>
    <w:multiLevelType w:val="hybridMultilevel"/>
    <w:tmpl w:val="15F6D04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CA4710B"/>
    <w:multiLevelType w:val="multilevel"/>
    <w:tmpl w:val="5B7E73D6"/>
    <w:lvl w:ilvl="0">
      <w:start w:val="1"/>
      <w:numFmt w:val="none"/>
      <w:pStyle w:val="PolicyBodyUnnumbered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YzNjY3tzA2MjVT0lEKTi0uzszPAykwrAUAC08vuCwAAAA="/>
  </w:docVars>
  <w:rsids>
    <w:rsidRoot w:val="008E732E"/>
    <w:rsid w:val="001622DB"/>
    <w:rsid w:val="002569FB"/>
    <w:rsid w:val="003D14CE"/>
    <w:rsid w:val="003D420D"/>
    <w:rsid w:val="0049709D"/>
    <w:rsid w:val="00530797"/>
    <w:rsid w:val="00703E41"/>
    <w:rsid w:val="007F0C94"/>
    <w:rsid w:val="008E732E"/>
    <w:rsid w:val="00912798"/>
    <w:rsid w:val="00AE4141"/>
    <w:rsid w:val="00AE72CD"/>
    <w:rsid w:val="00B02DE1"/>
    <w:rsid w:val="00B34EE6"/>
    <w:rsid w:val="00B91356"/>
    <w:rsid w:val="00C049EC"/>
    <w:rsid w:val="00D86850"/>
    <w:rsid w:val="00F32A83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DFF8"/>
  <w15:chartTrackingRefBased/>
  <w15:docId w15:val="{689772C0-9D52-4BB2-88A4-01B22DC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1NumberedBody">
    <w:name w:val="Policy Heading1 Numbered Body"/>
    <w:basedOn w:val="Normal"/>
    <w:link w:val="PolicyHeading1NumberedBodyChar"/>
    <w:qFormat/>
    <w:rsid w:val="008E732E"/>
    <w:pPr>
      <w:numPr>
        <w:numId w:val="1"/>
      </w:numPr>
      <w:spacing w:before="240"/>
    </w:pPr>
    <w:rPr>
      <w:rFonts w:ascii="Arial" w:hAnsi="Arial" w:cs="Times New Roman (Body CS)"/>
      <w:b/>
      <w:caps/>
    </w:rPr>
  </w:style>
  <w:style w:type="paragraph" w:customStyle="1" w:styleId="PolicyBodyNumbered">
    <w:name w:val="Policy Body Numbered"/>
    <w:basedOn w:val="PolicyHeading1NumberedBody"/>
    <w:qFormat/>
    <w:rsid w:val="008E732E"/>
    <w:pPr>
      <w:numPr>
        <w:ilvl w:val="1"/>
      </w:numPr>
      <w:spacing w:before="80" w:after="160"/>
    </w:pPr>
    <w:rPr>
      <w:b w:val="0"/>
      <w:caps w:val="0"/>
    </w:rPr>
  </w:style>
  <w:style w:type="paragraph" w:customStyle="1" w:styleId="PolicyBodyUnnumbered">
    <w:name w:val="Policy Body Unnumbered"/>
    <w:basedOn w:val="PolicyHeading1UnnumberedBody"/>
    <w:link w:val="PolicyBodyUnnumberedChar"/>
    <w:qFormat/>
    <w:rsid w:val="008E732E"/>
    <w:pPr>
      <w:numPr>
        <w:numId w:val="2"/>
      </w:numPr>
    </w:pPr>
  </w:style>
  <w:style w:type="paragraph" w:customStyle="1" w:styleId="PolicyHeading1UnnumberedBody">
    <w:name w:val="Policy Heading1 Unnumbered Body"/>
    <w:basedOn w:val="PolicyHeading1NumberedBody"/>
    <w:next w:val="PolicyBodyUnnumbered"/>
    <w:link w:val="PolicyHeading1UnnumberedBodyChar"/>
    <w:qFormat/>
    <w:rsid w:val="008E732E"/>
  </w:style>
  <w:style w:type="table" w:styleId="TableGrid">
    <w:name w:val="Table Grid"/>
    <w:basedOn w:val="TableNormal"/>
    <w:uiPriority w:val="39"/>
    <w:rsid w:val="008E73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Name">
    <w:name w:val="Policy Name"/>
    <w:basedOn w:val="Title"/>
    <w:next w:val="Normal"/>
    <w:qFormat/>
    <w:rsid w:val="008E732E"/>
    <w:pPr>
      <w:spacing w:after="240"/>
      <w:contextualSpacing w:val="0"/>
      <w:jc w:val="center"/>
    </w:pPr>
    <w:rPr>
      <w:rFonts w:ascii="Arial" w:hAnsi="Arial" w:cs="Times New Roman (Headings CS)"/>
      <w:b/>
      <w:caps/>
      <w:sz w:val="32"/>
    </w:rPr>
  </w:style>
  <w:style w:type="paragraph" w:customStyle="1" w:styleId="PolicyHeadingTableValue">
    <w:name w:val="Policy Heading Table Value"/>
    <w:basedOn w:val="Normal"/>
    <w:qFormat/>
    <w:rsid w:val="008E732E"/>
    <w:rPr>
      <w:rFonts w:ascii="Arial" w:hAnsi="Arial"/>
      <w:b/>
    </w:rPr>
  </w:style>
  <w:style w:type="paragraph" w:customStyle="1" w:styleId="PolicyBodyBullets">
    <w:name w:val="Policy Body Bullets"/>
    <w:basedOn w:val="PolicyBodyUnnumbered"/>
    <w:link w:val="PolicyBodyBulletsChar"/>
    <w:qFormat/>
    <w:rsid w:val="008E732E"/>
    <w:pPr>
      <w:numPr>
        <w:numId w:val="3"/>
      </w:numPr>
      <w:spacing w:before="80" w:line="288" w:lineRule="auto"/>
    </w:pPr>
    <w:rPr>
      <w:b w:val="0"/>
      <w:caps w:val="0"/>
    </w:rPr>
  </w:style>
  <w:style w:type="paragraph" w:customStyle="1" w:styleId="PolicyHeading2Unnumbered">
    <w:name w:val="Policy Heading2 Unnumbered"/>
    <w:basedOn w:val="PolicyBodyUnnumbered"/>
    <w:next w:val="PolicyBodyBullets"/>
    <w:qFormat/>
    <w:rsid w:val="008E732E"/>
    <w:pPr>
      <w:numPr>
        <w:numId w:val="8"/>
      </w:numPr>
      <w:spacing w:before="160" w:after="80"/>
      <w:ind w:left="357" w:hanging="357"/>
    </w:pPr>
    <w:rPr>
      <w:bCs/>
      <w:caps w:val="0"/>
    </w:rPr>
  </w:style>
  <w:style w:type="paragraph" w:customStyle="1" w:styleId="PolicyBodyTable">
    <w:name w:val="Policy Body Table"/>
    <w:basedOn w:val="Normal"/>
    <w:qFormat/>
    <w:rsid w:val="008E732E"/>
    <w:rPr>
      <w:rFonts w:ascii="Arial" w:hAnsi="Arial" w:cs="Times New Roman (Body CS)"/>
      <w:sz w:val="20"/>
    </w:rPr>
  </w:style>
  <w:style w:type="paragraph" w:customStyle="1" w:styleId="PolicyHeadingTableKey">
    <w:name w:val="Policy Heading Table Key"/>
    <w:basedOn w:val="PolicyHeadingTableValue"/>
    <w:qFormat/>
    <w:rsid w:val="008E732E"/>
    <w:rPr>
      <w:rFonts w:cs="Times New Roman (Body CS)"/>
      <w:b w:val="0"/>
      <w:bCs/>
    </w:rPr>
  </w:style>
  <w:style w:type="character" w:customStyle="1" w:styleId="PolicyHeading1NumberedBodyChar">
    <w:name w:val="Policy Heading1 Numbered Body Char"/>
    <w:basedOn w:val="DefaultParagraphFont"/>
    <w:link w:val="PolicyHeading1NumberedBody"/>
    <w:rsid w:val="008E732E"/>
    <w:rPr>
      <w:rFonts w:ascii="Arial" w:hAnsi="Arial" w:cs="Times New Roman (Body CS)"/>
      <w:b/>
      <w:caps/>
      <w:sz w:val="24"/>
      <w:szCs w:val="24"/>
    </w:rPr>
  </w:style>
  <w:style w:type="character" w:customStyle="1" w:styleId="PolicyHeading1UnnumberedBodyChar">
    <w:name w:val="Policy Heading1 Unnumbered Body Char"/>
    <w:basedOn w:val="PolicyHeading1NumberedBodyChar"/>
    <w:link w:val="PolicyHeading1UnnumberedBody"/>
    <w:rsid w:val="008E732E"/>
    <w:rPr>
      <w:rFonts w:ascii="Arial" w:hAnsi="Arial" w:cs="Times New Roman (Body CS)"/>
      <w:b/>
      <w:caps/>
      <w:sz w:val="24"/>
      <w:szCs w:val="24"/>
    </w:rPr>
  </w:style>
  <w:style w:type="character" w:customStyle="1" w:styleId="PolicyBodyUnnumberedChar">
    <w:name w:val="Policy Body Unnumbered Char"/>
    <w:basedOn w:val="PolicyHeading1UnnumberedBodyChar"/>
    <w:link w:val="PolicyBodyUnnumbered"/>
    <w:rsid w:val="008E732E"/>
    <w:rPr>
      <w:rFonts w:ascii="Arial" w:hAnsi="Arial" w:cs="Times New Roman (Body CS)"/>
      <w:b/>
      <w:caps/>
      <w:sz w:val="24"/>
      <w:szCs w:val="24"/>
    </w:rPr>
  </w:style>
  <w:style w:type="character" w:customStyle="1" w:styleId="PolicyBodyBulletsChar">
    <w:name w:val="Policy Body Bullets Char"/>
    <w:basedOn w:val="PolicyBodyUnnumberedChar"/>
    <w:link w:val="PolicyBodyBullets"/>
    <w:rsid w:val="008E732E"/>
    <w:rPr>
      <w:rFonts w:ascii="Arial" w:hAnsi="Arial" w:cs="Times New Roman (Body CS)"/>
      <w:b w:val="0"/>
      <w:caps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73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E7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32E"/>
    <w:pPr>
      <w:ind w:left="720"/>
      <w:contextualSpacing/>
    </w:pPr>
    <w:rPr>
      <w:rFonts w:ascii="Times New Roman" w:eastAsia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Racheal Neal</dc:creator>
  <cp:keywords/>
  <dc:description/>
  <cp:lastModifiedBy>Kay McPartland</cp:lastModifiedBy>
  <cp:revision>10</cp:revision>
  <dcterms:created xsi:type="dcterms:W3CDTF">2021-09-13T01:36:00Z</dcterms:created>
  <dcterms:modified xsi:type="dcterms:W3CDTF">2021-10-16T04:13:00Z</dcterms:modified>
</cp:coreProperties>
</file>