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398E3" w14:textId="77777777" w:rsidR="00725A03" w:rsidRPr="002227FB" w:rsidRDefault="00330B3E" w:rsidP="006B13E0">
      <w:pPr>
        <w:pStyle w:val="PolicyName"/>
        <w:rPr>
          <w:rFonts w:cs="Arial"/>
          <w:sz w:val="24"/>
          <w:szCs w:val="24"/>
        </w:rPr>
      </w:pPr>
      <w:r w:rsidRPr="002227FB">
        <w:rPr>
          <w:rFonts w:cs="Arial"/>
          <w:sz w:val="24"/>
          <w:szCs w:val="24"/>
        </w:rPr>
        <w:t>BORROWING FLINTWOOD PROPERTY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030"/>
      </w:tblGrid>
      <w:tr w:rsidR="002227FB" w:rsidRPr="002227FB" w14:paraId="59001CD4" w14:textId="77777777" w:rsidTr="00725A03">
        <w:tc>
          <w:tcPr>
            <w:tcW w:w="1980" w:type="dxa"/>
          </w:tcPr>
          <w:p w14:paraId="52BD0EF6" w14:textId="77777777" w:rsidR="00725A03" w:rsidRPr="002227FB" w:rsidRDefault="00725A03" w:rsidP="00694675">
            <w:pPr>
              <w:pStyle w:val="PolicyHeadingTableKey"/>
              <w:rPr>
                <w:rFonts w:cs="Arial"/>
              </w:rPr>
            </w:pPr>
            <w:r w:rsidRPr="002227FB">
              <w:rPr>
                <w:rFonts w:cs="Arial"/>
              </w:rPr>
              <w:t>Policy number</w:t>
            </w:r>
          </w:p>
        </w:tc>
        <w:tc>
          <w:tcPr>
            <w:tcW w:w="7030" w:type="dxa"/>
          </w:tcPr>
          <w:p w14:paraId="39F3CCAF" w14:textId="77777777" w:rsidR="00725A03" w:rsidRPr="002227FB" w:rsidRDefault="00330B3E" w:rsidP="00725A03">
            <w:pPr>
              <w:pStyle w:val="PolicyHeadingTableValue"/>
              <w:rPr>
                <w:rFonts w:cs="Arial"/>
              </w:rPr>
            </w:pPr>
            <w:r w:rsidRPr="002227FB">
              <w:rPr>
                <w:rFonts w:cs="Arial"/>
              </w:rPr>
              <w:t>Draft</w:t>
            </w:r>
          </w:p>
        </w:tc>
      </w:tr>
      <w:tr w:rsidR="00725A03" w:rsidRPr="002227FB" w14:paraId="12A94676" w14:textId="77777777" w:rsidTr="00725A03">
        <w:tc>
          <w:tcPr>
            <w:tcW w:w="1980" w:type="dxa"/>
          </w:tcPr>
          <w:p w14:paraId="745EE740" w14:textId="77777777" w:rsidR="00725A03" w:rsidRPr="002227FB" w:rsidRDefault="00725A03" w:rsidP="00694675">
            <w:pPr>
              <w:pStyle w:val="PolicyHeadingTableKey"/>
              <w:rPr>
                <w:rFonts w:cs="Arial"/>
              </w:rPr>
            </w:pPr>
            <w:r w:rsidRPr="002227FB">
              <w:rPr>
                <w:rFonts w:cs="Arial"/>
              </w:rPr>
              <w:t>Effective from</w:t>
            </w:r>
          </w:p>
        </w:tc>
        <w:tc>
          <w:tcPr>
            <w:tcW w:w="7030" w:type="dxa"/>
          </w:tcPr>
          <w:p w14:paraId="77DA7436" w14:textId="77777777" w:rsidR="00725A03" w:rsidRPr="002227FB" w:rsidRDefault="00330B3E" w:rsidP="00725A03">
            <w:pPr>
              <w:pStyle w:val="PolicyHeadingTableValue"/>
              <w:rPr>
                <w:rFonts w:cs="Arial"/>
              </w:rPr>
            </w:pPr>
            <w:r w:rsidRPr="002227FB">
              <w:rPr>
                <w:rFonts w:cs="Arial"/>
              </w:rPr>
              <w:t>Sept 2021</w:t>
            </w:r>
          </w:p>
        </w:tc>
      </w:tr>
    </w:tbl>
    <w:p w14:paraId="0300E6AD" w14:textId="77777777" w:rsidR="00725A03" w:rsidRPr="002227FB" w:rsidRDefault="00725A03" w:rsidP="006D2E58">
      <w:pPr>
        <w:rPr>
          <w:rFonts w:ascii="Arial" w:hAnsi="Arial" w:cs="Arial"/>
        </w:rPr>
      </w:pPr>
    </w:p>
    <w:p w14:paraId="549E2B1A" w14:textId="77777777" w:rsidR="0001673F" w:rsidRPr="002227FB" w:rsidRDefault="00C8593A" w:rsidP="009E5400">
      <w:pPr>
        <w:pStyle w:val="PolicyHeading1UnnumberedBody"/>
        <w:rPr>
          <w:rFonts w:cs="Arial"/>
        </w:rPr>
      </w:pPr>
      <w:r w:rsidRPr="002227FB">
        <w:rPr>
          <w:rFonts w:cs="Arial"/>
        </w:rPr>
        <w:t>AIM</w:t>
      </w:r>
    </w:p>
    <w:p w14:paraId="52E85D63" w14:textId="77777777" w:rsidR="008A3035" w:rsidRPr="002227FB" w:rsidRDefault="00F307BA" w:rsidP="00F307BA">
      <w:pPr>
        <w:pStyle w:val="PolicyBodyUnnumbered"/>
        <w:numPr>
          <w:ilvl w:val="0"/>
          <w:numId w:val="0"/>
        </w:numPr>
        <w:spacing w:line="276" w:lineRule="auto"/>
        <w:jc w:val="both"/>
        <w:rPr>
          <w:rFonts w:cs="Arial"/>
        </w:rPr>
      </w:pPr>
      <w:r w:rsidRPr="002227FB">
        <w:rPr>
          <w:rFonts w:cs="Arial"/>
        </w:rPr>
        <w:t>Flintwood is open to certain items being borrowed. This policy aims to give guidance as to what property can and cannot be borrowe</w:t>
      </w:r>
      <w:bookmarkStart w:id="0" w:name="_GoBack"/>
      <w:bookmarkEnd w:id="0"/>
      <w:r w:rsidRPr="002227FB">
        <w:rPr>
          <w:rFonts w:cs="Arial"/>
        </w:rPr>
        <w:t>d and what the guidelines are around borrowing equipment.</w:t>
      </w:r>
    </w:p>
    <w:p w14:paraId="375380BF" w14:textId="77777777" w:rsidR="00E77AD1" w:rsidRPr="002227FB" w:rsidRDefault="0001673F" w:rsidP="005D48EC">
      <w:pPr>
        <w:pStyle w:val="PolicyHeading1UnnumberedBody"/>
        <w:spacing w:line="276" w:lineRule="auto"/>
        <w:rPr>
          <w:rFonts w:cs="Arial"/>
        </w:rPr>
      </w:pPr>
      <w:r w:rsidRPr="002227FB">
        <w:rPr>
          <w:rFonts w:cs="Arial"/>
        </w:rPr>
        <w:t>s</w:t>
      </w:r>
      <w:r w:rsidR="006F59FD" w:rsidRPr="002227FB">
        <w:rPr>
          <w:rFonts w:cs="Arial"/>
        </w:rPr>
        <w:t>COPE</w:t>
      </w:r>
    </w:p>
    <w:p w14:paraId="197EFACD" w14:textId="77777777" w:rsidR="007306F0" w:rsidRPr="002227FB" w:rsidRDefault="00F307BA" w:rsidP="005D48EC">
      <w:pPr>
        <w:pStyle w:val="PolicyBodyUnnumbered"/>
        <w:numPr>
          <w:ilvl w:val="0"/>
          <w:numId w:val="0"/>
        </w:numPr>
        <w:spacing w:line="276" w:lineRule="auto"/>
        <w:ind w:left="357" w:hanging="357"/>
        <w:rPr>
          <w:rFonts w:cs="Arial"/>
        </w:rPr>
      </w:pPr>
      <w:r w:rsidRPr="002227FB">
        <w:rPr>
          <w:rFonts w:cs="Arial"/>
        </w:rPr>
        <w:t>This policy applies to all employees and stakeholders.</w:t>
      </w:r>
    </w:p>
    <w:p w14:paraId="37685507" w14:textId="77777777" w:rsidR="0001673F" w:rsidRPr="002227FB" w:rsidRDefault="006F59FD" w:rsidP="005D48EC">
      <w:pPr>
        <w:pStyle w:val="PolicyHeading1NumberedBody"/>
        <w:spacing w:line="276" w:lineRule="auto"/>
        <w:rPr>
          <w:rFonts w:cs="Arial"/>
        </w:rPr>
      </w:pPr>
      <w:r w:rsidRPr="002227FB">
        <w:rPr>
          <w:rFonts w:cs="Arial"/>
        </w:rPr>
        <w:t>DEFINITION</w:t>
      </w:r>
    </w:p>
    <w:p w14:paraId="3892BD1E" w14:textId="674DFDA9" w:rsidR="00330B3E" w:rsidRPr="002227FB" w:rsidRDefault="00330B3E" w:rsidP="00330B3E">
      <w:pPr>
        <w:rPr>
          <w:rFonts w:ascii="Arial" w:hAnsi="Arial" w:cs="Arial"/>
        </w:rPr>
      </w:pPr>
      <w:r w:rsidRPr="002227FB">
        <w:rPr>
          <w:rFonts w:ascii="Arial" w:hAnsi="Arial" w:cs="Arial"/>
        </w:rPr>
        <w:t>Borrowing — to obtain or receive something temporarily or on loan with the promise or understanding of returning it.</w:t>
      </w:r>
    </w:p>
    <w:p w14:paraId="706DFDFD" w14:textId="77777777" w:rsidR="00330B3E" w:rsidRPr="002227FB" w:rsidRDefault="00330B3E" w:rsidP="00330B3E">
      <w:pPr>
        <w:rPr>
          <w:rFonts w:ascii="Arial" w:hAnsi="Arial" w:cs="Arial"/>
        </w:rPr>
      </w:pPr>
    </w:p>
    <w:p w14:paraId="46B5C7CC" w14:textId="77777777" w:rsidR="00330B3E" w:rsidRPr="002227FB" w:rsidRDefault="00330B3E" w:rsidP="00330B3E">
      <w:pPr>
        <w:rPr>
          <w:rFonts w:ascii="Arial" w:hAnsi="Arial" w:cs="Arial"/>
        </w:rPr>
      </w:pPr>
      <w:r w:rsidRPr="002227FB">
        <w:rPr>
          <w:rFonts w:ascii="Arial" w:hAnsi="Arial" w:cs="Arial"/>
        </w:rPr>
        <w:t>Equipment — tangible property that is used in the operation of a business.</w:t>
      </w:r>
    </w:p>
    <w:p w14:paraId="46BEC4BC" w14:textId="77777777" w:rsidR="00330B3E" w:rsidRPr="002227FB" w:rsidRDefault="00330B3E" w:rsidP="00330B3E">
      <w:pPr>
        <w:rPr>
          <w:rFonts w:ascii="Arial" w:hAnsi="Arial" w:cs="Arial"/>
        </w:rPr>
      </w:pPr>
    </w:p>
    <w:p w14:paraId="1F8E4228" w14:textId="36091988" w:rsidR="0050294B" w:rsidRPr="002227FB" w:rsidRDefault="00330B3E" w:rsidP="00330B3E">
      <w:pPr>
        <w:rPr>
          <w:rFonts w:ascii="Arial" w:hAnsi="Arial" w:cs="Arial"/>
        </w:rPr>
      </w:pPr>
      <w:r w:rsidRPr="002227FB">
        <w:rPr>
          <w:rFonts w:ascii="Arial" w:hAnsi="Arial" w:cs="Arial"/>
        </w:rPr>
        <w:t>Resources include but are not limited to stock, food, materials and other assets necessary for effective operation.</w:t>
      </w:r>
    </w:p>
    <w:p w14:paraId="2F8CB48D" w14:textId="77777777" w:rsidR="006D2E58" w:rsidRPr="002227FB" w:rsidRDefault="006F59FD" w:rsidP="005D48EC">
      <w:pPr>
        <w:pStyle w:val="PolicyHeading1NumberedBody"/>
        <w:spacing w:line="276" w:lineRule="auto"/>
        <w:rPr>
          <w:rFonts w:cs="Arial"/>
        </w:rPr>
      </w:pPr>
      <w:r w:rsidRPr="002227FB">
        <w:rPr>
          <w:rFonts w:cs="Arial"/>
        </w:rPr>
        <w:t>POLICY</w:t>
      </w:r>
    </w:p>
    <w:p w14:paraId="43F74BA8" w14:textId="162547C8" w:rsidR="00330B3E" w:rsidRPr="002227FB" w:rsidRDefault="00097029" w:rsidP="00330B3E">
      <w:pPr>
        <w:rPr>
          <w:rFonts w:ascii="Arial" w:hAnsi="Arial" w:cs="Arial"/>
        </w:rPr>
      </w:pPr>
      <w:r w:rsidRPr="002227FB">
        <w:rPr>
          <w:rFonts w:ascii="Arial" w:hAnsi="Arial" w:cs="Arial"/>
        </w:rPr>
        <w:t xml:space="preserve">4.1 </w:t>
      </w:r>
      <w:r w:rsidR="00330B3E" w:rsidRPr="002227FB">
        <w:rPr>
          <w:rFonts w:ascii="Arial" w:hAnsi="Arial" w:cs="Arial"/>
        </w:rPr>
        <w:t xml:space="preserve">FLINTWOOD is a </w:t>
      </w:r>
      <w:proofErr w:type="spellStart"/>
      <w:r w:rsidR="00330B3E" w:rsidRPr="002227FB">
        <w:rPr>
          <w:rFonts w:ascii="Arial" w:hAnsi="Arial" w:cs="Arial"/>
        </w:rPr>
        <w:t>well resourced</w:t>
      </w:r>
      <w:proofErr w:type="spellEnd"/>
      <w:r w:rsidR="00330B3E" w:rsidRPr="002227FB">
        <w:rPr>
          <w:rFonts w:ascii="Arial" w:hAnsi="Arial" w:cs="Arial"/>
        </w:rPr>
        <w:t xml:space="preserve"> organisation </w:t>
      </w:r>
      <w:r w:rsidR="001B65BA" w:rsidRPr="002227FB">
        <w:rPr>
          <w:rFonts w:ascii="Arial" w:hAnsi="Arial" w:cs="Arial"/>
        </w:rPr>
        <w:t xml:space="preserve">that </w:t>
      </w:r>
      <w:r w:rsidR="00330B3E" w:rsidRPr="002227FB">
        <w:rPr>
          <w:rFonts w:ascii="Arial" w:hAnsi="Arial" w:cs="Arial"/>
        </w:rPr>
        <w:t>ensures equipment and resources are used for the purpose of providing quality services.</w:t>
      </w:r>
    </w:p>
    <w:p w14:paraId="011E3BFC" w14:textId="77777777" w:rsidR="00330B3E" w:rsidRPr="002227FB" w:rsidRDefault="00330B3E" w:rsidP="00330B3E">
      <w:pPr>
        <w:rPr>
          <w:rFonts w:ascii="Arial" w:hAnsi="Arial" w:cs="Arial"/>
        </w:rPr>
      </w:pPr>
    </w:p>
    <w:p w14:paraId="7FEFDEC0" w14:textId="35DCFDEC" w:rsidR="007306F0" w:rsidRPr="002227FB" w:rsidRDefault="00097029" w:rsidP="00330B3E">
      <w:pPr>
        <w:rPr>
          <w:rFonts w:ascii="Arial" w:hAnsi="Arial" w:cs="Arial"/>
        </w:rPr>
      </w:pPr>
      <w:r w:rsidRPr="002227FB">
        <w:rPr>
          <w:rFonts w:ascii="Arial" w:hAnsi="Arial" w:cs="Arial"/>
        </w:rPr>
        <w:t xml:space="preserve">4.2 </w:t>
      </w:r>
      <w:r w:rsidR="00330B3E" w:rsidRPr="002227FB">
        <w:rPr>
          <w:rFonts w:ascii="Arial" w:hAnsi="Arial" w:cs="Arial"/>
        </w:rPr>
        <w:t xml:space="preserve">FLINTWOOD acknowledges purchases of equipment and resources may be purchased with </w:t>
      </w:r>
      <w:r w:rsidR="008F766C" w:rsidRPr="002227FB">
        <w:rPr>
          <w:rFonts w:ascii="Arial" w:hAnsi="Arial" w:cs="Arial"/>
        </w:rPr>
        <w:t xml:space="preserve">FLINTWOOD </w:t>
      </w:r>
      <w:r w:rsidR="00330B3E" w:rsidRPr="002227FB">
        <w:rPr>
          <w:rFonts w:ascii="Arial" w:hAnsi="Arial" w:cs="Arial"/>
        </w:rPr>
        <w:t xml:space="preserve">funds </w:t>
      </w:r>
      <w:r w:rsidR="00F307BA" w:rsidRPr="002227FB">
        <w:rPr>
          <w:rFonts w:ascii="Arial" w:hAnsi="Arial" w:cs="Arial"/>
        </w:rPr>
        <w:t xml:space="preserve">and </w:t>
      </w:r>
      <w:r w:rsidR="00330B3E" w:rsidRPr="002227FB">
        <w:rPr>
          <w:rFonts w:ascii="Arial" w:hAnsi="Arial" w:cs="Arial"/>
        </w:rPr>
        <w:t>therefore have a h</w:t>
      </w:r>
      <w:r w:rsidR="00F307BA" w:rsidRPr="002227FB">
        <w:rPr>
          <w:rFonts w:ascii="Arial" w:hAnsi="Arial" w:cs="Arial"/>
        </w:rPr>
        <w:t>igher obligation to ensure the</w:t>
      </w:r>
      <w:r w:rsidR="00330B3E" w:rsidRPr="002227FB">
        <w:rPr>
          <w:rFonts w:ascii="Arial" w:hAnsi="Arial" w:cs="Arial"/>
        </w:rPr>
        <w:t xml:space="preserve"> usage is in line with the agreed outcomes.</w:t>
      </w:r>
    </w:p>
    <w:p w14:paraId="30417266" w14:textId="77777777" w:rsidR="006F59FD" w:rsidRPr="002227FB" w:rsidRDefault="006F59FD" w:rsidP="005D48EC">
      <w:pPr>
        <w:pStyle w:val="PolicyHeading1NumberedBody"/>
        <w:spacing w:line="276" w:lineRule="auto"/>
        <w:rPr>
          <w:rFonts w:cs="Arial"/>
        </w:rPr>
      </w:pPr>
      <w:r w:rsidRPr="002227FB">
        <w:rPr>
          <w:rFonts w:cs="Arial"/>
        </w:rPr>
        <w:t>Procedures</w:t>
      </w:r>
    </w:p>
    <w:p w14:paraId="59CE81CE" w14:textId="4357DF43" w:rsidR="00EF651C" w:rsidRPr="002227FB" w:rsidRDefault="00330B3E" w:rsidP="00330B3E">
      <w:pPr>
        <w:rPr>
          <w:rFonts w:ascii="Arial" w:hAnsi="Arial" w:cs="Arial"/>
        </w:rPr>
      </w:pPr>
      <w:r w:rsidRPr="002227FB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0" wp14:anchorId="762AC135" wp14:editId="614307DC">
            <wp:simplePos x="0" y="0"/>
            <wp:positionH relativeFrom="page">
              <wp:posOffset>265284</wp:posOffset>
            </wp:positionH>
            <wp:positionV relativeFrom="page">
              <wp:posOffset>3972685</wp:posOffset>
            </wp:positionV>
            <wp:extent cx="6098" cy="9146"/>
            <wp:effectExtent l="0" t="0" r="0" b="0"/>
            <wp:wrapSquare wrapText="bothSides"/>
            <wp:docPr id="1433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029" w:rsidRPr="002227FB">
        <w:rPr>
          <w:rFonts w:ascii="Arial" w:hAnsi="Arial" w:cs="Arial"/>
        </w:rPr>
        <w:t xml:space="preserve">5.1 </w:t>
      </w:r>
      <w:r w:rsidR="00F307BA" w:rsidRPr="002227FB">
        <w:rPr>
          <w:rFonts w:ascii="Arial" w:hAnsi="Arial" w:cs="Arial"/>
        </w:rPr>
        <w:t>FLINTWOOD will</w:t>
      </w:r>
      <w:r w:rsidRPr="002227FB">
        <w:rPr>
          <w:rFonts w:ascii="Arial" w:hAnsi="Arial" w:cs="Arial"/>
        </w:rPr>
        <w:t xml:space="preserve"> allow from time </w:t>
      </w:r>
      <w:r w:rsidR="00F307BA" w:rsidRPr="002227FB">
        <w:rPr>
          <w:rFonts w:ascii="Arial" w:hAnsi="Arial" w:cs="Arial"/>
        </w:rPr>
        <w:t>to time employees, Participant</w:t>
      </w:r>
      <w:r w:rsidRPr="002227FB">
        <w:rPr>
          <w:rFonts w:ascii="Arial" w:hAnsi="Arial" w:cs="Arial"/>
        </w:rPr>
        <w:t>s, families or other Service Providers to borrow equipment or resources. This borrowing is</w:t>
      </w:r>
      <w:r w:rsidR="00EF651C" w:rsidRPr="002227FB">
        <w:rPr>
          <w:rFonts w:ascii="Arial" w:hAnsi="Arial" w:cs="Arial"/>
        </w:rPr>
        <w:t xml:space="preserve"> assessed individually and</w:t>
      </w:r>
      <w:r w:rsidRPr="002227FB">
        <w:rPr>
          <w:rFonts w:ascii="Arial" w:hAnsi="Arial" w:cs="Arial"/>
        </w:rPr>
        <w:t xml:space="preserve"> based on need and </w:t>
      </w:r>
      <w:r w:rsidR="00EF651C" w:rsidRPr="002227FB">
        <w:rPr>
          <w:rFonts w:ascii="Arial" w:hAnsi="Arial" w:cs="Arial"/>
        </w:rPr>
        <w:t xml:space="preserve">the </w:t>
      </w:r>
      <w:r w:rsidRPr="002227FB">
        <w:rPr>
          <w:rFonts w:ascii="Arial" w:hAnsi="Arial" w:cs="Arial"/>
        </w:rPr>
        <w:t xml:space="preserve">agreement that the item will be returned in the same condition and </w:t>
      </w:r>
      <w:r w:rsidR="008472D1" w:rsidRPr="002227FB">
        <w:rPr>
          <w:rFonts w:ascii="Arial" w:hAnsi="Arial" w:cs="Arial"/>
        </w:rPr>
        <w:t>within</w:t>
      </w:r>
      <w:r w:rsidR="002227FB" w:rsidRPr="002227FB">
        <w:rPr>
          <w:rFonts w:ascii="Arial" w:hAnsi="Arial" w:cs="Arial"/>
        </w:rPr>
        <w:t xml:space="preserve"> </w:t>
      </w:r>
      <w:r w:rsidRPr="002227FB">
        <w:rPr>
          <w:rFonts w:ascii="Arial" w:hAnsi="Arial" w:cs="Arial"/>
        </w:rPr>
        <w:t xml:space="preserve">an agreed period of time. </w:t>
      </w:r>
    </w:p>
    <w:p w14:paraId="62569200" w14:textId="77777777" w:rsidR="00EF651C" w:rsidRPr="002227FB" w:rsidRDefault="00EF651C" w:rsidP="00330B3E">
      <w:pPr>
        <w:rPr>
          <w:rFonts w:ascii="Arial" w:hAnsi="Arial" w:cs="Arial"/>
        </w:rPr>
      </w:pPr>
    </w:p>
    <w:p w14:paraId="2E2C05DC" w14:textId="71CE9165" w:rsidR="00330B3E" w:rsidRPr="002227FB" w:rsidRDefault="00097029" w:rsidP="00330B3E">
      <w:pPr>
        <w:rPr>
          <w:rFonts w:ascii="Arial" w:hAnsi="Arial" w:cs="Arial"/>
        </w:rPr>
      </w:pPr>
      <w:r w:rsidRPr="002227FB">
        <w:rPr>
          <w:rFonts w:ascii="Arial" w:hAnsi="Arial" w:cs="Arial"/>
        </w:rPr>
        <w:t xml:space="preserve">5.2 </w:t>
      </w:r>
      <w:r w:rsidR="00330B3E" w:rsidRPr="002227FB">
        <w:rPr>
          <w:rFonts w:ascii="Arial" w:hAnsi="Arial" w:cs="Arial"/>
        </w:rPr>
        <w:t xml:space="preserve">Any </w:t>
      </w:r>
      <w:r w:rsidR="008472D1" w:rsidRPr="002227FB">
        <w:rPr>
          <w:rFonts w:ascii="Arial" w:hAnsi="Arial" w:cs="Arial"/>
        </w:rPr>
        <w:t xml:space="preserve">necessary </w:t>
      </w:r>
      <w:r w:rsidR="00330B3E" w:rsidRPr="002227FB">
        <w:rPr>
          <w:rFonts w:ascii="Arial" w:hAnsi="Arial" w:cs="Arial"/>
        </w:rPr>
        <w:t xml:space="preserve">repairs </w:t>
      </w:r>
      <w:r w:rsidR="008F766C" w:rsidRPr="002227FB">
        <w:rPr>
          <w:rFonts w:ascii="Arial" w:hAnsi="Arial" w:cs="Arial"/>
        </w:rPr>
        <w:t xml:space="preserve">or running costs will be </w:t>
      </w:r>
      <w:r w:rsidR="008472D1" w:rsidRPr="002227FB">
        <w:rPr>
          <w:rFonts w:ascii="Arial" w:hAnsi="Arial" w:cs="Arial"/>
        </w:rPr>
        <w:t xml:space="preserve">calculated upon </w:t>
      </w:r>
      <w:r w:rsidR="00330B3E" w:rsidRPr="002227FB">
        <w:rPr>
          <w:rFonts w:ascii="Arial" w:hAnsi="Arial" w:cs="Arial"/>
        </w:rPr>
        <w:t xml:space="preserve">return </w:t>
      </w:r>
      <w:r w:rsidR="008F766C" w:rsidRPr="002227FB">
        <w:rPr>
          <w:rFonts w:ascii="Arial" w:hAnsi="Arial" w:cs="Arial"/>
        </w:rPr>
        <w:t xml:space="preserve">and </w:t>
      </w:r>
      <w:r w:rsidR="00330B3E" w:rsidRPr="002227FB">
        <w:rPr>
          <w:rFonts w:ascii="Arial" w:hAnsi="Arial" w:cs="Arial"/>
        </w:rPr>
        <w:t>will be the responsibility of the Borrower.</w:t>
      </w:r>
    </w:p>
    <w:p w14:paraId="69E98610" w14:textId="77777777" w:rsidR="00EF651C" w:rsidRPr="002227FB" w:rsidRDefault="00EF651C" w:rsidP="00330B3E">
      <w:pPr>
        <w:rPr>
          <w:rFonts w:ascii="Arial" w:hAnsi="Arial" w:cs="Arial"/>
        </w:rPr>
      </w:pPr>
    </w:p>
    <w:p w14:paraId="3EC8F60B" w14:textId="51130885" w:rsidR="00330B3E" w:rsidRPr="002227FB" w:rsidRDefault="00097029" w:rsidP="00330B3E">
      <w:pPr>
        <w:rPr>
          <w:rFonts w:ascii="Arial" w:hAnsi="Arial" w:cs="Arial"/>
        </w:rPr>
      </w:pPr>
      <w:r w:rsidRPr="002227FB">
        <w:rPr>
          <w:rFonts w:ascii="Arial" w:hAnsi="Arial" w:cs="Arial"/>
        </w:rPr>
        <w:t xml:space="preserve">5.3 </w:t>
      </w:r>
      <w:r w:rsidR="00EF651C" w:rsidRPr="002227FB">
        <w:rPr>
          <w:rFonts w:ascii="Arial" w:hAnsi="Arial" w:cs="Arial"/>
        </w:rPr>
        <w:t xml:space="preserve">Items borrowed must be </w:t>
      </w:r>
      <w:r w:rsidR="008F766C" w:rsidRPr="002227FB">
        <w:rPr>
          <w:rFonts w:ascii="Arial" w:hAnsi="Arial" w:cs="Arial"/>
        </w:rPr>
        <w:t xml:space="preserve">reported to the Properties and Assets Manager and recorded </w:t>
      </w:r>
      <w:r w:rsidR="002227FB" w:rsidRPr="002227FB">
        <w:rPr>
          <w:rFonts w:ascii="Arial" w:hAnsi="Arial" w:cs="Arial"/>
        </w:rPr>
        <w:t>in a Register</w:t>
      </w:r>
      <w:r w:rsidR="008472D1" w:rsidRPr="002227FB">
        <w:rPr>
          <w:rFonts w:ascii="Arial" w:hAnsi="Arial" w:cs="Arial"/>
        </w:rPr>
        <w:t xml:space="preserve"> </w:t>
      </w:r>
      <w:r w:rsidR="008F766C" w:rsidRPr="002227FB">
        <w:rPr>
          <w:rFonts w:ascii="Arial" w:hAnsi="Arial" w:cs="Arial"/>
        </w:rPr>
        <w:t>as borrowed.</w:t>
      </w:r>
    </w:p>
    <w:p w14:paraId="75B402F0" w14:textId="15E1A9C0" w:rsidR="008F766C" w:rsidRPr="002227FB" w:rsidRDefault="008F766C" w:rsidP="00330B3E">
      <w:pPr>
        <w:rPr>
          <w:rFonts w:ascii="Arial" w:hAnsi="Arial" w:cs="Arial"/>
        </w:rPr>
      </w:pPr>
    </w:p>
    <w:p w14:paraId="0D39E845" w14:textId="0E9C02DA" w:rsidR="008F766C" w:rsidRPr="002227FB" w:rsidRDefault="008F766C" w:rsidP="00330B3E">
      <w:pPr>
        <w:rPr>
          <w:rFonts w:ascii="Arial" w:hAnsi="Arial" w:cs="Arial"/>
        </w:rPr>
      </w:pPr>
      <w:r w:rsidRPr="002227FB">
        <w:rPr>
          <w:rFonts w:ascii="Arial" w:hAnsi="Arial" w:cs="Arial"/>
        </w:rPr>
        <w:t>5.4 Items that can be borrow include but are not limited to: specialised equipment, books, manuals, vehicles, tools, machinery and IT equipment.  It does not include any item that will be depleted because of the usage</w:t>
      </w:r>
      <w:r w:rsidR="001B65BA" w:rsidRPr="002227FB">
        <w:rPr>
          <w:rFonts w:ascii="Arial" w:hAnsi="Arial" w:cs="Arial"/>
        </w:rPr>
        <w:t>,</w:t>
      </w:r>
      <w:r w:rsidR="00EE11CF" w:rsidRPr="002227FB">
        <w:rPr>
          <w:rFonts w:ascii="Arial" w:hAnsi="Arial" w:cs="Arial"/>
        </w:rPr>
        <w:t xml:space="preserve"> i.e. craft items</w:t>
      </w:r>
    </w:p>
    <w:p w14:paraId="3E93E2DB" w14:textId="77777777" w:rsidR="00330B3E" w:rsidRPr="002227FB" w:rsidRDefault="00330B3E" w:rsidP="00330B3E">
      <w:pPr>
        <w:rPr>
          <w:rFonts w:ascii="Arial" w:hAnsi="Arial" w:cs="Arial"/>
        </w:rPr>
      </w:pPr>
    </w:p>
    <w:p w14:paraId="4A72C3C0" w14:textId="5FEA5348" w:rsidR="00330B3E" w:rsidRPr="002227FB" w:rsidRDefault="00097029" w:rsidP="00330B3E">
      <w:pPr>
        <w:rPr>
          <w:rFonts w:ascii="Arial" w:hAnsi="Arial" w:cs="Arial"/>
        </w:rPr>
      </w:pPr>
      <w:r w:rsidRPr="002227FB">
        <w:rPr>
          <w:rFonts w:ascii="Arial" w:hAnsi="Arial" w:cs="Arial"/>
        </w:rPr>
        <w:t>5.</w:t>
      </w:r>
      <w:r w:rsidR="00EE11CF" w:rsidRPr="002227FB">
        <w:rPr>
          <w:rFonts w:ascii="Arial" w:hAnsi="Arial" w:cs="Arial"/>
        </w:rPr>
        <w:t>5</w:t>
      </w:r>
      <w:r w:rsidRPr="002227FB">
        <w:rPr>
          <w:rFonts w:ascii="Arial" w:hAnsi="Arial" w:cs="Arial"/>
        </w:rPr>
        <w:t xml:space="preserve"> </w:t>
      </w:r>
      <w:r w:rsidR="00330B3E" w:rsidRPr="002227FB">
        <w:rPr>
          <w:rFonts w:ascii="Arial" w:hAnsi="Arial" w:cs="Arial"/>
        </w:rPr>
        <w:t>No item belongi</w:t>
      </w:r>
      <w:r w:rsidR="00EF651C" w:rsidRPr="002227FB">
        <w:rPr>
          <w:rFonts w:ascii="Arial" w:hAnsi="Arial" w:cs="Arial"/>
        </w:rPr>
        <w:t>ng to an individual Participant</w:t>
      </w:r>
      <w:r w:rsidR="00330B3E" w:rsidRPr="002227FB">
        <w:rPr>
          <w:rFonts w:ascii="Arial" w:hAnsi="Arial" w:cs="Arial"/>
        </w:rPr>
        <w:t xml:space="preserve"> can be borrowed without their consent.</w:t>
      </w:r>
    </w:p>
    <w:p w14:paraId="2FCC6E93" w14:textId="77777777" w:rsidR="00EF651C" w:rsidRPr="002227FB" w:rsidRDefault="00EF651C" w:rsidP="00330B3E">
      <w:pPr>
        <w:rPr>
          <w:rFonts w:ascii="Arial" w:hAnsi="Arial" w:cs="Arial"/>
        </w:rPr>
      </w:pPr>
    </w:p>
    <w:p w14:paraId="50BABE5D" w14:textId="35732E4D" w:rsidR="00330B3E" w:rsidRPr="002227FB" w:rsidRDefault="00097029" w:rsidP="00330B3E">
      <w:pPr>
        <w:rPr>
          <w:rFonts w:ascii="Arial" w:hAnsi="Arial" w:cs="Arial"/>
        </w:rPr>
      </w:pPr>
      <w:r w:rsidRPr="002227FB">
        <w:rPr>
          <w:rFonts w:ascii="Arial" w:hAnsi="Arial" w:cs="Arial"/>
        </w:rPr>
        <w:t>5.</w:t>
      </w:r>
      <w:r w:rsidR="00EE11CF" w:rsidRPr="002227FB">
        <w:rPr>
          <w:rFonts w:ascii="Arial" w:hAnsi="Arial" w:cs="Arial"/>
        </w:rPr>
        <w:t>6</w:t>
      </w:r>
      <w:r w:rsidRPr="002227FB">
        <w:rPr>
          <w:rFonts w:ascii="Arial" w:hAnsi="Arial" w:cs="Arial"/>
        </w:rPr>
        <w:t xml:space="preserve"> </w:t>
      </w:r>
      <w:r w:rsidR="00330B3E" w:rsidRPr="002227FB">
        <w:rPr>
          <w:rFonts w:ascii="Arial" w:hAnsi="Arial" w:cs="Arial"/>
        </w:rPr>
        <w:t>Only someone in a FLINTWOOD management position has the authority to consent to any borrowing of equipment or taking of any resources.</w:t>
      </w:r>
    </w:p>
    <w:p w14:paraId="2725E222" w14:textId="77777777" w:rsidR="00330B3E" w:rsidRPr="002227FB" w:rsidRDefault="00330B3E" w:rsidP="00330B3E">
      <w:pPr>
        <w:rPr>
          <w:rFonts w:ascii="Arial" w:hAnsi="Arial" w:cs="Arial"/>
        </w:rPr>
      </w:pPr>
    </w:p>
    <w:p w14:paraId="7360FEDA" w14:textId="71A7A0B3" w:rsidR="00330B3E" w:rsidRPr="002227FB" w:rsidRDefault="00097029" w:rsidP="00330B3E">
      <w:pPr>
        <w:rPr>
          <w:rFonts w:ascii="Arial" w:hAnsi="Arial" w:cs="Arial"/>
        </w:rPr>
      </w:pPr>
      <w:r w:rsidRPr="002227FB">
        <w:rPr>
          <w:rFonts w:ascii="Arial" w:hAnsi="Arial" w:cs="Arial"/>
        </w:rPr>
        <w:t>5.</w:t>
      </w:r>
      <w:r w:rsidR="00EE11CF" w:rsidRPr="002227FB">
        <w:rPr>
          <w:rFonts w:ascii="Arial" w:hAnsi="Arial" w:cs="Arial"/>
        </w:rPr>
        <w:t>7</w:t>
      </w:r>
      <w:r w:rsidRPr="002227FB">
        <w:rPr>
          <w:rFonts w:ascii="Arial" w:hAnsi="Arial" w:cs="Arial"/>
        </w:rPr>
        <w:t xml:space="preserve"> </w:t>
      </w:r>
      <w:r w:rsidR="00330B3E" w:rsidRPr="002227FB">
        <w:rPr>
          <w:rFonts w:ascii="Arial" w:hAnsi="Arial" w:cs="Arial"/>
        </w:rPr>
        <w:t xml:space="preserve">Any items borrowed </w:t>
      </w:r>
      <w:r w:rsidR="008472D1" w:rsidRPr="002227FB">
        <w:rPr>
          <w:rFonts w:ascii="Arial" w:hAnsi="Arial" w:cs="Arial"/>
        </w:rPr>
        <w:t xml:space="preserve">must not </w:t>
      </w:r>
      <w:r w:rsidR="00330B3E" w:rsidRPr="002227FB">
        <w:rPr>
          <w:rFonts w:ascii="Arial" w:hAnsi="Arial" w:cs="Arial"/>
        </w:rPr>
        <w:t>be passed onto a third party.</w:t>
      </w:r>
    </w:p>
    <w:p w14:paraId="6B1DDC7E" w14:textId="77777777" w:rsidR="00330B3E" w:rsidRPr="002227FB" w:rsidRDefault="00330B3E" w:rsidP="00330B3E">
      <w:pPr>
        <w:rPr>
          <w:rFonts w:ascii="Arial" w:hAnsi="Arial" w:cs="Arial"/>
        </w:rPr>
      </w:pPr>
    </w:p>
    <w:p w14:paraId="73A0ABCE" w14:textId="6C6FF2EF" w:rsidR="007306F0" w:rsidRPr="002227FB" w:rsidRDefault="00097029" w:rsidP="00097029">
      <w:pPr>
        <w:rPr>
          <w:rFonts w:ascii="Arial" w:hAnsi="Arial" w:cs="Arial"/>
        </w:rPr>
      </w:pPr>
      <w:r w:rsidRPr="002227FB">
        <w:rPr>
          <w:rFonts w:ascii="Arial" w:hAnsi="Arial" w:cs="Arial"/>
        </w:rPr>
        <w:t>5.</w:t>
      </w:r>
      <w:r w:rsidR="00EE11CF" w:rsidRPr="002227FB">
        <w:rPr>
          <w:rFonts w:ascii="Arial" w:hAnsi="Arial" w:cs="Arial"/>
        </w:rPr>
        <w:t>8</w:t>
      </w:r>
      <w:r w:rsidRPr="002227FB">
        <w:rPr>
          <w:rFonts w:ascii="Arial" w:hAnsi="Arial" w:cs="Arial"/>
        </w:rPr>
        <w:t xml:space="preserve"> </w:t>
      </w:r>
      <w:r w:rsidR="00EF651C" w:rsidRPr="002227FB">
        <w:rPr>
          <w:rFonts w:ascii="Arial" w:hAnsi="Arial" w:cs="Arial"/>
        </w:rPr>
        <w:t xml:space="preserve">Any items </w:t>
      </w:r>
      <w:r w:rsidR="00330B3E" w:rsidRPr="002227FB">
        <w:rPr>
          <w:rFonts w:ascii="Arial" w:hAnsi="Arial" w:cs="Arial"/>
        </w:rPr>
        <w:t>removed from</w:t>
      </w:r>
      <w:r w:rsidR="00EF651C" w:rsidRPr="002227FB">
        <w:rPr>
          <w:rFonts w:ascii="Arial" w:hAnsi="Arial" w:cs="Arial"/>
        </w:rPr>
        <w:t xml:space="preserve"> </w:t>
      </w:r>
      <w:r w:rsidR="002227FB" w:rsidRPr="002227FB">
        <w:rPr>
          <w:rFonts w:ascii="Arial" w:hAnsi="Arial" w:cs="Arial"/>
        </w:rPr>
        <w:t>FLINTWOOD</w:t>
      </w:r>
      <w:r w:rsidR="008472D1" w:rsidRPr="002227FB">
        <w:rPr>
          <w:rFonts w:ascii="Arial" w:hAnsi="Arial" w:cs="Arial"/>
        </w:rPr>
        <w:t xml:space="preserve"> </w:t>
      </w:r>
      <w:r w:rsidR="00330B3E" w:rsidRPr="002227FB">
        <w:rPr>
          <w:rFonts w:ascii="Arial" w:hAnsi="Arial" w:cs="Arial"/>
        </w:rPr>
        <w:t xml:space="preserve">premises </w:t>
      </w:r>
      <w:r w:rsidR="008472D1" w:rsidRPr="002227FB">
        <w:rPr>
          <w:rFonts w:ascii="Arial" w:hAnsi="Arial" w:cs="Arial"/>
        </w:rPr>
        <w:t xml:space="preserve">without </w:t>
      </w:r>
      <w:r w:rsidR="00330B3E" w:rsidRPr="002227FB">
        <w:rPr>
          <w:rFonts w:ascii="Arial" w:hAnsi="Arial" w:cs="Arial"/>
        </w:rPr>
        <w:t xml:space="preserve">the authority </w:t>
      </w:r>
      <w:r w:rsidR="008472D1" w:rsidRPr="002227FB">
        <w:rPr>
          <w:rFonts w:ascii="Arial" w:hAnsi="Arial" w:cs="Arial"/>
        </w:rPr>
        <w:t xml:space="preserve">of </w:t>
      </w:r>
      <w:r w:rsidR="00330B3E" w:rsidRPr="002227FB">
        <w:rPr>
          <w:rFonts w:ascii="Arial" w:hAnsi="Arial" w:cs="Arial"/>
        </w:rPr>
        <w:t>a</w:t>
      </w:r>
      <w:r w:rsidR="00EF651C" w:rsidRPr="002227FB">
        <w:rPr>
          <w:rFonts w:ascii="Arial" w:hAnsi="Arial" w:cs="Arial"/>
        </w:rPr>
        <w:t xml:space="preserve"> M</w:t>
      </w:r>
      <w:r w:rsidR="00330B3E" w:rsidRPr="002227FB">
        <w:rPr>
          <w:rFonts w:ascii="Arial" w:hAnsi="Arial" w:cs="Arial"/>
        </w:rPr>
        <w:t>an</w:t>
      </w:r>
      <w:r w:rsidR="00EF651C" w:rsidRPr="002227FB">
        <w:rPr>
          <w:rFonts w:ascii="Arial" w:hAnsi="Arial" w:cs="Arial"/>
        </w:rPr>
        <w:t>a</w:t>
      </w:r>
      <w:r w:rsidR="00330B3E" w:rsidRPr="002227FB">
        <w:rPr>
          <w:rFonts w:ascii="Arial" w:hAnsi="Arial" w:cs="Arial"/>
        </w:rPr>
        <w:t>ger will be considered theft.</w:t>
      </w:r>
    </w:p>
    <w:p w14:paraId="75EBFC89" w14:textId="77777777" w:rsidR="006F59FD" w:rsidRPr="002227FB" w:rsidRDefault="006F59FD" w:rsidP="005D48EC">
      <w:pPr>
        <w:pStyle w:val="PolicyHeading1NumberedBody"/>
        <w:spacing w:line="276" w:lineRule="auto"/>
        <w:rPr>
          <w:rFonts w:cs="Arial"/>
        </w:rPr>
      </w:pPr>
      <w:r w:rsidRPr="002227FB">
        <w:rPr>
          <w:rFonts w:cs="Arial"/>
        </w:rPr>
        <w:t>RESPONSIBILITIES</w:t>
      </w:r>
    </w:p>
    <w:p w14:paraId="794419F7" w14:textId="77777777" w:rsidR="00820FD1" w:rsidRPr="002227FB" w:rsidRDefault="00820FD1" w:rsidP="00BE49C1">
      <w:pPr>
        <w:pStyle w:val="PolicyHeading2Unnumbered"/>
        <w:rPr>
          <w:rFonts w:cs="Arial"/>
        </w:rPr>
      </w:pPr>
      <w:r w:rsidRPr="002227FB">
        <w:rPr>
          <w:rFonts w:cs="Arial"/>
        </w:rPr>
        <w:t>Employee</w:t>
      </w:r>
    </w:p>
    <w:p w14:paraId="44A4FEDC" w14:textId="77777777" w:rsidR="00820FD1" w:rsidRPr="002227FB" w:rsidRDefault="00820FD1" w:rsidP="00820FD1">
      <w:pPr>
        <w:pStyle w:val="PolicyBodyBullets"/>
        <w:numPr>
          <w:ilvl w:val="0"/>
          <w:numId w:val="22"/>
        </w:numPr>
      </w:pPr>
      <w:r w:rsidRPr="002227FB">
        <w:t>Adhere to policy</w:t>
      </w:r>
    </w:p>
    <w:p w14:paraId="08D20795" w14:textId="77777777" w:rsidR="00BE49C1" w:rsidRPr="002227FB" w:rsidRDefault="00B37463" w:rsidP="00BE49C1">
      <w:pPr>
        <w:pStyle w:val="PolicyHeading2Unnumbered"/>
        <w:rPr>
          <w:rFonts w:cs="Arial"/>
        </w:rPr>
      </w:pPr>
      <w:r w:rsidRPr="002227FB">
        <w:rPr>
          <w:rFonts w:cs="Arial"/>
        </w:rPr>
        <w:t>Service</w:t>
      </w:r>
      <w:r w:rsidR="00BE49C1" w:rsidRPr="002227FB">
        <w:rPr>
          <w:rFonts w:cs="Arial"/>
        </w:rPr>
        <w:t xml:space="preserve"> Manager</w:t>
      </w:r>
    </w:p>
    <w:p w14:paraId="7C798171" w14:textId="77777777" w:rsidR="007306F0" w:rsidRPr="002227FB" w:rsidRDefault="00820FD1" w:rsidP="003A58B0">
      <w:pPr>
        <w:pStyle w:val="PolicyBodyBullets"/>
        <w:numPr>
          <w:ilvl w:val="0"/>
          <w:numId w:val="21"/>
        </w:numPr>
        <w:rPr>
          <w:rFonts w:cs="Arial"/>
        </w:rPr>
      </w:pPr>
      <w:r w:rsidRPr="002227FB">
        <w:rPr>
          <w:rFonts w:cs="Arial"/>
        </w:rPr>
        <w:t>Full approval of others borrowing equipment</w:t>
      </w:r>
    </w:p>
    <w:p w14:paraId="5C67D398" w14:textId="77777777" w:rsidR="00820FD1" w:rsidRPr="002227FB" w:rsidRDefault="00820FD1" w:rsidP="003A58B0">
      <w:pPr>
        <w:pStyle w:val="PolicyBodyBullets"/>
        <w:numPr>
          <w:ilvl w:val="0"/>
          <w:numId w:val="21"/>
        </w:numPr>
        <w:rPr>
          <w:rFonts w:cs="Arial"/>
        </w:rPr>
      </w:pPr>
      <w:r w:rsidRPr="002227FB">
        <w:rPr>
          <w:rFonts w:cs="Arial"/>
        </w:rPr>
        <w:t>Document items borrowed on a register</w:t>
      </w:r>
    </w:p>
    <w:p w14:paraId="162D5EB0" w14:textId="77777777" w:rsidR="00820FD1" w:rsidRPr="002227FB" w:rsidRDefault="00820FD1" w:rsidP="003A58B0">
      <w:pPr>
        <w:pStyle w:val="PolicyBodyBullets"/>
        <w:numPr>
          <w:ilvl w:val="0"/>
          <w:numId w:val="21"/>
        </w:numPr>
        <w:rPr>
          <w:rFonts w:cs="Arial"/>
        </w:rPr>
      </w:pPr>
      <w:r w:rsidRPr="002227FB">
        <w:rPr>
          <w:rFonts w:cs="Arial"/>
        </w:rPr>
        <w:t>Full communication with General Manager over ‘borrowing of items’</w:t>
      </w:r>
    </w:p>
    <w:p w14:paraId="65965210" w14:textId="77777777" w:rsidR="00820FD1" w:rsidRPr="002227FB" w:rsidRDefault="00820FD1" w:rsidP="003A58B0">
      <w:pPr>
        <w:pStyle w:val="PolicyBodyBullets"/>
        <w:numPr>
          <w:ilvl w:val="0"/>
          <w:numId w:val="21"/>
        </w:numPr>
        <w:rPr>
          <w:rFonts w:cs="Arial"/>
        </w:rPr>
      </w:pPr>
      <w:r w:rsidRPr="002227FB">
        <w:rPr>
          <w:rFonts w:cs="Arial"/>
        </w:rPr>
        <w:t>Adhere to policy</w:t>
      </w:r>
    </w:p>
    <w:p w14:paraId="52D71EA1" w14:textId="77777777" w:rsidR="00AA2E95" w:rsidRPr="002227FB" w:rsidRDefault="00B37463" w:rsidP="00BE49C1">
      <w:pPr>
        <w:pStyle w:val="PolicyHeading2Unnumbered"/>
        <w:rPr>
          <w:rFonts w:cs="Arial"/>
        </w:rPr>
      </w:pPr>
      <w:r w:rsidRPr="002227FB">
        <w:rPr>
          <w:rFonts w:cs="Arial"/>
        </w:rPr>
        <w:t>General</w:t>
      </w:r>
      <w:r w:rsidR="00AA2E95" w:rsidRPr="002227FB">
        <w:rPr>
          <w:rFonts w:cs="Arial"/>
        </w:rPr>
        <w:t xml:space="preserve"> Manage</w:t>
      </w:r>
      <w:r w:rsidR="005244E3" w:rsidRPr="002227FB">
        <w:rPr>
          <w:rFonts w:cs="Arial"/>
        </w:rPr>
        <w:t>r</w:t>
      </w:r>
    </w:p>
    <w:p w14:paraId="21BEF921" w14:textId="77777777" w:rsidR="007306F0" w:rsidRPr="002227FB" w:rsidRDefault="00820FD1" w:rsidP="003A58B0">
      <w:pPr>
        <w:pStyle w:val="PolicyBodyBullets"/>
        <w:ind w:left="1112" w:hanging="261"/>
        <w:rPr>
          <w:rFonts w:cs="Arial"/>
        </w:rPr>
      </w:pPr>
      <w:r w:rsidRPr="002227FB">
        <w:rPr>
          <w:rFonts w:cs="Arial"/>
        </w:rPr>
        <w:t>Discuss with Service Manager items being borrowed</w:t>
      </w:r>
    </w:p>
    <w:p w14:paraId="36683D62" w14:textId="77777777" w:rsidR="00820FD1" w:rsidRPr="002227FB" w:rsidRDefault="00820FD1" w:rsidP="003A58B0">
      <w:pPr>
        <w:pStyle w:val="PolicyBodyBullets"/>
        <w:ind w:left="1112" w:hanging="261"/>
        <w:rPr>
          <w:rFonts w:cs="Arial"/>
        </w:rPr>
      </w:pPr>
      <w:r w:rsidRPr="002227FB">
        <w:rPr>
          <w:rFonts w:cs="Arial"/>
        </w:rPr>
        <w:t>Adhere to policy</w:t>
      </w:r>
    </w:p>
    <w:p w14:paraId="58079CA3" w14:textId="77777777" w:rsidR="00AA2E95" w:rsidRPr="002227FB" w:rsidRDefault="004E1099" w:rsidP="004E1099">
      <w:pPr>
        <w:pStyle w:val="PolicyHeading2Unnumbered"/>
        <w:rPr>
          <w:rFonts w:cs="Arial"/>
        </w:rPr>
      </w:pPr>
      <w:r w:rsidRPr="002227FB">
        <w:rPr>
          <w:rFonts w:cs="Arial"/>
        </w:rPr>
        <w:t>CEO</w:t>
      </w:r>
    </w:p>
    <w:p w14:paraId="3710F05B" w14:textId="77777777" w:rsidR="007306F0" w:rsidRPr="002227FB" w:rsidRDefault="00820FD1" w:rsidP="003A58B0">
      <w:pPr>
        <w:pStyle w:val="PolicyBodyBullets"/>
        <w:numPr>
          <w:ilvl w:val="0"/>
          <w:numId w:val="21"/>
        </w:numPr>
        <w:rPr>
          <w:rFonts w:cs="Arial"/>
        </w:rPr>
      </w:pPr>
      <w:r w:rsidRPr="002227FB">
        <w:rPr>
          <w:rFonts w:cs="Arial"/>
        </w:rPr>
        <w:t>Be aware of items being borrowed</w:t>
      </w:r>
    </w:p>
    <w:p w14:paraId="1FE1B66A" w14:textId="77777777" w:rsidR="006F59FD" w:rsidRPr="002227FB" w:rsidRDefault="006F59FD" w:rsidP="005F37DA">
      <w:pPr>
        <w:pStyle w:val="PolicyHeading1UnnumberedBody"/>
        <w:rPr>
          <w:rFonts w:cs="Arial"/>
        </w:rPr>
      </w:pPr>
      <w:r w:rsidRPr="002227FB">
        <w:rPr>
          <w:rFonts w:cs="Arial"/>
        </w:rPr>
        <w:t>CHANGE HISTORY</w:t>
      </w:r>
    </w:p>
    <w:p w14:paraId="311FD4CE" w14:textId="77777777" w:rsidR="007662CF" w:rsidRPr="002227FB" w:rsidRDefault="007662CF" w:rsidP="007662CF">
      <w:pPr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36"/>
        <w:gridCol w:w="2268"/>
        <w:gridCol w:w="1843"/>
        <w:gridCol w:w="3203"/>
      </w:tblGrid>
      <w:tr w:rsidR="002227FB" w:rsidRPr="002227FB" w14:paraId="50211E52" w14:textId="77777777" w:rsidTr="007C06FF">
        <w:trPr>
          <w:tblHeader/>
        </w:trPr>
        <w:tc>
          <w:tcPr>
            <w:tcW w:w="1336" w:type="dxa"/>
            <w:shd w:val="clear" w:color="auto" w:fill="7F7F7F" w:themeFill="text1" w:themeFillTint="80"/>
          </w:tcPr>
          <w:p w14:paraId="2D33A393" w14:textId="77777777" w:rsidR="005F37DA" w:rsidRPr="002227FB" w:rsidRDefault="005F37DA" w:rsidP="005F37DA">
            <w:pPr>
              <w:pStyle w:val="PolicyBodyTable"/>
            </w:pPr>
            <w:r w:rsidRPr="002227FB">
              <w:t>Version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311715D8" w14:textId="77777777" w:rsidR="005F37DA" w:rsidRPr="002227FB" w:rsidRDefault="005F37DA" w:rsidP="005F37DA">
            <w:pPr>
              <w:pStyle w:val="PolicyBodyTable"/>
            </w:pPr>
            <w:r w:rsidRPr="002227FB">
              <w:t>Release / R</w:t>
            </w:r>
            <w:r w:rsidR="00976485" w:rsidRPr="002227FB">
              <w:t>e</w:t>
            </w:r>
            <w:r w:rsidRPr="002227FB">
              <w:t>view date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14:paraId="5DADD855" w14:textId="77777777" w:rsidR="005F37DA" w:rsidRPr="002227FB" w:rsidRDefault="005F37DA" w:rsidP="005F37DA">
            <w:pPr>
              <w:pStyle w:val="PolicyBodyTable"/>
            </w:pPr>
            <w:r w:rsidRPr="002227FB">
              <w:t>Author / Reviewer</w:t>
            </w:r>
          </w:p>
        </w:tc>
        <w:tc>
          <w:tcPr>
            <w:tcW w:w="3203" w:type="dxa"/>
            <w:shd w:val="clear" w:color="auto" w:fill="7F7F7F" w:themeFill="text1" w:themeFillTint="80"/>
          </w:tcPr>
          <w:p w14:paraId="71511F0D" w14:textId="77777777" w:rsidR="005F37DA" w:rsidRPr="002227FB" w:rsidRDefault="005F37DA" w:rsidP="005F37DA">
            <w:pPr>
              <w:pStyle w:val="PolicyBodyTable"/>
            </w:pPr>
            <w:r w:rsidRPr="002227FB">
              <w:t>Change details</w:t>
            </w:r>
          </w:p>
        </w:tc>
      </w:tr>
      <w:tr w:rsidR="002227FB" w:rsidRPr="002227FB" w14:paraId="2DF979C2" w14:textId="77777777" w:rsidTr="00976485">
        <w:tc>
          <w:tcPr>
            <w:tcW w:w="1336" w:type="dxa"/>
          </w:tcPr>
          <w:p w14:paraId="21951F82" w14:textId="77777777" w:rsidR="008A3035" w:rsidRPr="002227FB" w:rsidRDefault="00820FD1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7FB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268" w:type="dxa"/>
          </w:tcPr>
          <w:p w14:paraId="70E69165" w14:textId="77777777" w:rsidR="008A3035" w:rsidRPr="002227FB" w:rsidRDefault="00820FD1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7FB">
              <w:rPr>
                <w:rFonts w:ascii="Arial" w:hAnsi="Arial" w:cs="Arial"/>
                <w:sz w:val="20"/>
                <w:szCs w:val="20"/>
              </w:rPr>
              <w:t>Sept 2021</w:t>
            </w:r>
          </w:p>
        </w:tc>
        <w:tc>
          <w:tcPr>
            <w:tcW w:w="1843" w:type="dxa"/>
          </w:tcPr>
          <w:p w14:paraId="5864C15B" w14:textId="77777777" w:rsidR="008A3035" w:rsidRPr="002227FB" w:rsidRDefault="00820FD1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7FB">
              <w:rPr>
                <w:rFonts w:ascii="Arial" w:hAnsi="Arial" w:cs="Arial"/>
                <w:sz w:val="20"/>
                <w:szCs w:val="20"/>
              </w:rPr>
              <w:t>Kay McPartland</w:t>
            </w:r>
          </w:p>
        </w:tc>
        <w:tc>
          <w:tcPr>
            <w:tcW w:w="3203" w:type="dxa"/>
          </w:tcPr>
          <w:p w14:paraId="2C5AAF07" w14:textId="77777777" w:rsidR="008A3035" w:rsidRPr="002227FB" w:rsidRDefault="00820FD1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7FB">
              <w:rPr>
                <w:rFonts w:ascii="Arial" w:hAnsi="Arial" w:cs="Arial"/>
                <w:sz w:val="20"/>
                <w:szCs w:val="20"/>
              </w:rPr>
              <w:t>Reformatting and review of policy</w:t>
            </w:r>
          </w:p>
        </w:tc>
      </w:tr>
      <w:tr w:rsidR="002227FB" w:rsidRPr="002227FB" w14:paraId="6F109B43" w14:textId="77777777" w:rsidTr="00976485">
        <w:tc>
          <w:tcPr>
            <w:tcW w:w="1336" w:type="dxa"/>
          </w:tcPr>
          <w:p w14:paraId="56C0D5A0" w14:textId="7E929C03" w:rsidR="008A3035" w:rsidRPr="002227FB" w:rsidRDefault="00EE11CF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7FB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2268" w:type="dxa"/>
          </w:tcPr>
          <w:p w14:paraId="3ED04646" w14:textId="4E1E00B1" w:rsidR="008A3035" w:rsidRPr="002227FB" w:rsidRDefault="00EE11CF" w:rsidP="008A3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7FB">
              <w:rPr>
                <w:rFonts w:ascii="Arial" w:hAnsi="Arial" w:cs="Arial"/>
                <w:sz w:val="20"/>
                <w:szCs w:val="20"/>
              </w:rPr>
              <w:t>Sept 2021</w:t>
            </w:r>
          </w:p>
        </w:tc>
        <w:tc>
          <w:tcPr>
            <w:tcW w:w="1843" w:type="dxa"/>
          </w:tcPr>
          <w:p w14:paraId="5724BB87" w14:textId="4FAE95E5" w:rsidR="008A3035" w:rsidRPr="002227FB" w:rsidRDefault="005E0511" w:rsidP="005E0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7FB">
              <w:rPr>
                <w:rFonts w:ascii="Arial" w:hAnsi="Arial" w:cs="Arial"/>
                <w:sz w:val="20"/>
                <w:szCs w:val="20"/>
              </w:rPr>
              <w:t>Policy Committee</w:t>
            </w:r>
          </w:p>
        </w:tc>
        <w:tc>
          <w:tcPr>
            <w:tcW w:w="3203" w:type="dxa"/>
          </w:tcPr>
          <w:p w14:paraId="373B0A8D" w14:textId="2D1A32C1" w:rsidR="008A3035" w:rsidRPr="002227FB" w:rsidRDefault="00EE11CF" w:rsidP="005E0511">
            <w:pPr>
              <w:rPr>
                <w:rFonts w:ascii="Arial" w:hAnsi="Arial" w:cs="Arial"/>
                <w:sz w:val="20"/>
                <w:szCs w:val="20"/>
              </w:rPr>
            </w:pPr>
            <w:r w:rsidRPr="002227FB">
              <w:rPr>
                <w:rFonts w:ascii="Arial" w:hAnsi="Arial" w:cs="Arial"/>
                <w:sz w:val="20"/>
                <w:szCs w:val="20"/>
              </w:rPr>
              <w:t>Re</w:t>
            </w:r>
            <w:r w:rsidR="005E0511" w:rsidRPr="002227FB">
              <w:rPr>
                <w:rFonts w:ascii="Arial" w:hAnsi="Arial" w:cs="Arial"/>
                <w:sz w:val="20"/>
                <w:szCs w:val="20"/>
              </w:rPr>
              <w:t>ad and Approved</w:t>
            </w:r>
          </w:p>
        </w:tc>
      </w:tr>
    </w:tbl>
    <w:p w14:paraId="6B214396" w14:textId="77777777" w:rsidR="0001673F" w:rsidRDefault="0001673F" w:rsidP="0001673F">
      <w:pPr>
        <w:pStyle w:val="PolicyHeading1NumberedBody"/>
        <w:numPr>
          <w:ilvl w:val="0"/>
          <w:numId w:val="0"/>
        </w:numPr>
        <w:ind w:left="360" w:hanging="360"/>
      </w:pPr>
    </w:p>
    <w:sectPr w:rsidR="0001673F" w:rsidSect="008023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B4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A84514"/>
    <w:multiLevelType w:val="multilevel"/>
    <w:tmpl w:val="B4B8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CF3F0B"/>
    <w:multiLevelType w:val="multilevel"/>
    <w:tmpl w:val="4D74B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615E6A"/>
    <w:multiLevelType w:val="hybridMultilevel"/>
    <w:tmpl w:val="C8B68B7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F3BB3"/>
    <w:multiLevelType w:val="hybridMultilevel"/>
    <w:tmpl w:val="F49EE7AE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28602CB4"/>
    <w:multiLevelType w:val="multilevel"/>
    <w:tmpl w:val="47420F5E"/>
    <w:styleLink w:val="UnnumberedSecondLev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"/>
      <w:lvlJc w:val="left"/>
      <w:pPr>
        <w:ind w:left="999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6F3251"/>
    <w:multiLevelType w:val="multilevel"/>
    <w:tmpl w:val="4742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AA1D86"/>
    <w:multiLevelType w:val="multilevel"/>
    <w:tmpl w:val="F0126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4E0F50"/>
    <w:multiLevelType w:val="multilevel"/>
    <w:tmpl w:val="B49EB95C"/>
    <w:lvl w:ilvl="0">
      <w:start w:val="1"/>
      <w:numFmt w:val="bullet"/>
      <w:pStyle w:val="PolicyBodyBullets"/>
      <w:lvlText w:val=""/>
      <w:lvlJc w:val="left"/>
      <w:pPr>
        <w:ind w:left="717" w:hanging="263"/>
      </w:pPr>
      <w:rPr>
        <w:rFonts w:ascii="Symbol" w:hAnsi="Symbol" w:hint="default"/>
        <w:color w:val="FF0000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9" w15:restartNumberingAfterBreak="0">
    <w:nsid w:val="39441B6F"/>
    <w:multiLevelType w:val="multilevel"/>
    <w:tmpl w:val="47420F5E"/>
    <w:numStyleLink w:val="UnnumberedSecondLevel"/>
  </w:abstractNum>
  <w:abstractNum w:abstractNumId="10" w15:restartNumberingAfterBreak="0">
    <w:nsid w:val="43CB1124"/>
    <w:multiLevelType w:val="hybridMultilevel"/>
    <w:tmpl w:val="789A511C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83B4CCD"/>
    <w:multiLevelType w:val="hybridMultilevel"/>
    <w:tmpl w:val="88A6DD68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A501508"/>
    <w:multiLevelType w:val="multilevel"/>
    <w:tmpl w:val="94724C0C"/>
    <w:lvl w:ilvl="0">
      <w:start w:val="1"/>
      <w:numFmt w:val="decimal"/>
      <w:pStyle w:val="PolicyHeading1NumberedBod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licyBodyNumbered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8F14DB"/>
    <w:multiLevelType w:val="multilevel"/>
    <w:tmpl w:val="053E8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F13393"/>
    <w:multiLevelType w:val="multilevel"/>
    <w:tmpl w:val="5DA84E1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5" w15:restartNumberingAfterBreak="0">
    <w:nsid w:val="621A4F1E"/>
    <w:multiLevelType w:val="hybridMultilevel"/>
    <w:tmpl w:val="DCDCA7D6"/>
    <w:lvl w:ilvl="0" w:tplc="490237BE">
      <w:start w:val="1"/>
      <w:numFmt w:val="bullet"/>
      <w:pStyle w:val="PolicyBodyBullets1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0F671D"/>
    <w:multiLevelType w:val="multilevel"/>
    <w:tmpl w:val="0A0E2D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BC2F14"/>
    <w:multiLevelType w:val="multilevel"/>
    <w:tmpl w:val="B4B8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1B44ED"/>
    <w:multiLevelType w:val="hybridMultilevel"/>
    <w:tmpl w:val="F0AC773A"/>
    <w:lvl w:ilvl="0" w:tplc="F878A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A4710B"/>
    <w:multiLevelType w:val="multilevel"/>
    <w:tmpl w:val="5B7E73D6"/>
    <w:lvl w:ilvl="0">
      <w:start w:val="1"/>
      <w:numFmt w:val="none"/>
      <w:pStyle w:val="PolicyBodyUnnumbered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2"/>
  </w:num>
  <w:num w:numId="10">
    <w:abstractNumId w:val="17"/>
  </w:num>
  <w:num w:numId="11">
    <w:abstractNumId w:val="1"/>
  </w:num>
  <w:num w:numId="12">
    <w:abstractNumId w:val="16"/>
  </w:num>
  <w:num w:numId="13">
    <w:abstractNumId w:val="8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MzI0MzUwMTU0tzBT0lEKTi0uzszPAykwrAUAtNUhASwAAAA="/>
  </w:docVars>
  <w:rsids>
    <w:rsidRoot w:val="00DE2EAA"/>
    <w:rsid w:val="0001673F"/>
    <w:rsid w:val="00097029"/>
    <w:rsid w:val="0015175A"/>
    <w:rsid w:val="001B1416"/>
    <w:rsid w:val="001B65BA"/>
    <w:rsid w:val="001C7C0B"/>
    <w:rsid w:val="001D2118"/>
    <w:rsid w:val="001F4EC4"/>
    <w:rsid w:val="002227FB"/>
    <w:rsid w:val="00246B5C"/>
    <w:rsid w:val="002C1D85"/>
    <w:rsid w:val="002C38E7"/>
    <w:rsid w:val="002C6883"/>
    <w:rsid w:val="002E7718"/>
    <w:rsid w:val="00330B3E"/>
    <w:rsid w:val="00337ECD"/>
    <w:rsid w:val="003A58B0"/>
    <w:rsid w:val="003A695D"/>
    <w:rsid w:val="003A75A2"/>
    <w:rsid w:val="0042203D"/>
    <w:rsid w:val="00473EB7"/>
    <w:rsid w:val="004E1099"/>
    <w:rsid w:val="0050294B"/>
    <w:rsid w:val="005244E3"/>
    <w:rsid w:val="0059669A"/>
    <w:rsid w:val="005A0282"/>
    <w:rsid w:val="005D48EC"/>
    <w:rsid w:val="005E0511"/>
    <w:rsid w:val="005F37DA"/>
    <w:rsid w:val="00623C0F"/>
    <w:rsid w:val="006400BC"/>
    <w:rsid w:val="006848B2"/>
    <w:rsid w:val="00694675"/>
    <w:rsid w:val="006B13E0"/>
    <w:rsid w:val="006D2E58"/>
    <w:rsid w:val="006F59FD"/>
    <w:rsid w:val="00725A03"/>
    <w:rsid w:val="007306F0"/>
    <w:rsid w:val="00745007"/>
    <w:rsid w:val="007662CF"/>
    <w:rsid w:val="007C06FF"/>
    <w:rsid w:val="007E0F00"/>
    <w:rsid w:val="007F761F"/>
    <w:rsid w:val="00802313"/>
    <w:rsid w:val="00820FD1"/>
    <w:rsid w:val="00834BBD"/>
    <w:rsid w:val="008472D1"/>
    <w:rsid w:val="008A3035"/>
    <w:rsid w:val="008A393A"/>
    <w:rsid w:val="008C4057"/>
    <w:rsid w:val="008F1AC9"/>
    <w:rsid w:val="008F38BB"/>
    <w:rsid w:val="008F766C"/>
    <w:rsid w:val="00952FF2"/>
    <w:rsid w:val="009733FC"/>
    <w:rsid w:val="00974DF8"/>
    <w:rsid w:val="00976485"/>
    <w:rsid w:val="009B4A04"/>
    <w:rsid w:val="009E2D42"/>
    <w:rsid w:val="009E5400"/>
    <w:rsid w:val="00A31BDF"/>
    <w:rsid w:val="00A45632"/>
    <w:rsid w:val="00A77E58"/>
    <w:rsid w:val="00A84E4F"/>
    <w:rsid w:val="00A97982"/>
    <w:rsid w:val="00AA2E95"/>
    <w:rsid w:val="00AC4245"/>
    <w:rsid w:val="00AD44A7"/>
    <w:rsid w:val="00B37463"/>
    <w:rsid w:val="00BE49C1"/>
    <w:rsid w:val="00C1756A"/>
    <w:rsid w:val="00C31B84"/>
    <w:rsid w:val="00C35C32"/>
    <w:rsid w:val="00C41441"/>
    <w:rsid w:val="00C8593A"/>
    <w:rsid w:val="00C97EA8"/>
    <w:rsid w:val="00CF79C9"/>
    <w:rsid w:val="00D302AB"/>
    <w:rsid w:val="00DB6DB2"/>
    <w:rsid w:val="00DE2EAA"/>
    <w:rsid w:val="00E31D14"/>
    <w:rsid w:val="00E77AD1"/>
    <w:rsid w:val="00EA7F80"/>
    <w:rsid w:val="00EE11CF"/>
    <w:rsid w:val="00EE5E69"/>
    <w:rsid w:val="00EF651C"/>
    <w:rsid w:val="00F307BA"/>
    <w:rsid w:val="00F40386"/>
    <w:rsid w:val="00F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C13A"/>
  <w15:chartTrackingRefBased/>
  <w15:docId w15:val="{7CBD2123-C627-4D39-A741-F19B7225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1NumberedBody">
    <w:name w:val="Policy Heading1 Numbered Body"/>
    <w:basedOn w:val="Normal"/>
    <w:link w:val="PolicyHeading1NumberedBodyChar"/>
    <w:qFormat/>
    <w:rsid w:val="009E5400"/>
    <w:pPr>
      <w:numPr>
        <w:numId w:val="1"/>
      </w:numPr>
      <w:spacing w:before="240"/>
    </w:pPr>
    <w:rPr>
      <w:rFonts w:ascii="Arial" w:hAnsi="Arial" w:cs="Times New Roman (Body CS)"/>
      <w:b/>
      <w:caps/>
    </w:rPr>
  </w:style>
  <w:style w:type="paragraph" w:customStyle="1" w:styleId="PolicyBodyNumbered">
    <w:name w:val="Policy Body Numbered"/>
    <w:basedOn w:val="PolicyHeading1NumberedBody"/>
    <w:qFormat/>
    <w:rsid w:val="008A393A"/>
    <w:pPr>
      <w:numPr>
        <w:ilvl w:val="1"/>
      </w:numPr>
      <w:spacing w:before="80" w:after="160"/>
    </w:pPr>
    <w:rPr>
      <w:b w:val="0"/>
      <w:caps w:val="0"/>
    </w:rPr>
  </w:style>
  <w:style w:type="paragraph" w:customStyle="1" w:styleId="PolicyBodyUnnumbered">
    <w:name w:val="Policy Body Unnumbered"/>
    <w:basedOn w:val="PolicyHeading1UnnumberedBody"/>
    <w:link w:val="PolicyBodyUnnumberedChar"/>
    <w:qFormat/>
    <w:rsid w:val="00EE5E69"/>
    <w:pPr>
      <w:numPr>
        <w:numId w:val="8"/>
      </w:numPr>
      <w:spacing w:before="80" w:after="160"/>
      <w:ind w:left="357" w:hanging="357"/>
    </w:pPr>
    <w:rPr>
      <w:b w:val="0"/>
      <w:caps w:val="0"/>
    </w:rPr>
  </w:style>
  <w:style w:type="numbering" w:customStyle="1" w:styleId="UnnumberedSecondLevel">
    <w:name w:val="UnnumberedSecondLevel"/>
    <w:uiPriority w:val="99"/>
    <w:rsid w:val="0001673F"/>
    <w:pPr>
      <w:numPr>
        <w:numId w:val="2"/>
      </w:numPr>
    </w:pPr>
  </w:style>
  <w:style w:type="paragraph" w:customStyle="1" w:styleId="PolicyHeading1UnnumberedBody">
    <w:name w:val="Policy Heading1 Unnumbered Body"/>
    <w:basedOn w:val="PolicyHeading1NumberedBody"/>
    <w:next w:val="PolicyBodyUnnumbered"/>
    <w:link w:val="PolicyHeading1UnnumberedBodyChar"/>
    <w:qFormat/>
    <w:rsid w:val="009E5400"/>
  </w:style>
  <w:style w:type="numbering" w:styleId="111111">
    <w:name w:val="Outline List 2"/>
    <w:basedOn w:val="NoList"/>
    <w:uiPriority w:val="99"/>
    <w:semiHidden/>
    <w:unhideWhenUsed/>
    <w:rsid w:val="00E77AD1"/>
    <w:pPr>
      <w:numPr>
        <w:numId w:val="7"/>
      </w:numPr>
    </w:pPr>
  </w:style>
  <w:style w:type="table" w:styleId="TableGrid">
    <w:name w:val="Table Grid"/>
    <w:basedOn w:val="TableNormal"/>
    <w:uiPriority w:val="39"/>
    <w:rsid w:val="007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Name">
    <w:name w:val="Policy Name"/>
    <w:basedOn w:val="Title"/>
    <w:next w:val="Normal"/>
    <w:qFormat/>
    <w:rsid w:val="00694675"/>
    <w:pPr>
      <w:spacing w:after="240"/>
      <w:contextualSpacing w:val="0"/>
      <w:jc w:val="center"/>
    </w:pPr>
    <w:rPr>
      <w:rFonts w:ascii="Arial" w:hAnsi="Arial" w:cs="Times New Roman (Headings CS)"/>
      <w:b/>
      <w:caps/>
      <w:sz w:val="32"/>
    </w:rPr>
  </w:style>
  <w:style w:type="paragraph" w:customStyle="1" w:styleId="PolicyHeadingTableValue">
    <w:name w:val="Policy Heading Table Value"/>
    <w:basedOn w:val="Normal"/>
    <w:qFormat/>
    <w:rsid w:val="00725A03"/>
    <w:rPr>
      <w:rFonts w:ascii="Arial" w:hAnsi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25A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A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olicyBodyBullets">
    <w:name w:val="Policy Body Bullets"/>
    <w:basedOn w:val="PolicyBodyUnnumbered"/>
    <w:link w:val="PolicyBodyBulletsChar"/>
    <w:qFormat/>
    <w:rsid w:val="008A393A"/>
    <w:pPr>
      <w:numPr>
        <w:numId w:val="13"/>
      </w:numPr>
      <w:spacing w:after="0" w:line="288" w:lineRule="auto"/>
    </w:pPr>
  </w:style>
  <w:style w:type="paragraph" w:customStyle="1" w:styleId="PolicyHeading2Unnumbered">
    <w:name w:val="Policy Heading2 Unnumbered"/>
    <w:basedOn w:val="PolicyBodyUnnumbered"/>
    <w:next w:val="PolicyBodyBullets"/>
    <w:qFormat/>
    <w:rsid w:val="00AA2E95"/>
    <w:pPr>
      <w:spacing w:before="160" w:after="8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E5E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E69"/>
    <w:rPr>
      <w:color w:val="605E5C"/>
      <w:shd w:val="clear" w:color="auto" w:fill="E1DFDD"/>
    </w:rPr>
  </w:style>
  <w:style w:type="paragraph" w:customStyle="1" w:styleId="PolicyBodyTable">
    <w:name w:val="Policy Body Table"/>
    <w:basedOn w:val="Normal"/>
    <w:qFormat/>
    <w:rsid w:val="005F37DA"/>
    <w:rPr>
      <w:rFonts w:ascii="Arial" w:hAnsi="Arial" w:cs="Times New Roman (Body CS)"/>
      <w:sz w:val="20"/>
    </w:rPr>
  </w:style>
  <w:style w:type="paragraph" w:customStyle="1" w:styleId="PolicyHeadingTableKey">
    <w:name w:val="Policy Heading Table Key"/>
    <w:basedOn w:val="PolicyHeadingTableValue"/>
    <w:qFormat/>
    <w:rsid w:val="00694675"/>
    <w:rPr>
      <w:rFonts w:cs="Times New Roman (Body CS)"/>
      <w:b w:val="0"/>
      <w:bCs/>
    </w:rPr>
  </w:style>
  <w:style w:type="paragraph" w:customStyle="1" w:styleId="PolicyBodyUnnumberedBold">
    <w:name w:val="Policy Body Unnumbered Bold"/>
    <w:basedOn w:val="PolicyBodyUnnumbered"/>
    <w:link w:val="PolicyBodyUnnumberedBoldChar"/>
    <w:qFormat/>
    <w:rsid w:val="001C7C0B"/>
    <w:rPr>
      <w:rFonts w:ascii="Arial Bold" w:hAnsi="Arial Bold"/>
      <w:b/>
    </w:rPr>
  </w:style>
  <w:style w:type="paragraph" w:customStyle="1" w:styleId="PolicyBodyBullets1">
    <w:name w:val="Policy Body Bullets1"/>
    <w:basedOn w:val="PolicyBodyBullets"/>
    <w:link w:val="PolicyBodyBullets1Char"/>
    <w:qFormat/>
    <w:rsid w:val="00C41441"/>
    <w:pPr>
      <w:numPr>
        <w:numId w:val="16"/>
      </w:numPr>
    </w:pPr>
  </w:style>
  <w:style w:type="character" w:customStyle="1" w:styleId="PolicyHeading1NumberedBodyChar">
    <w:name w:val="Policy Heading1 Numbered Body Char"/>
    <w:basedOn w:val="DefaultParagraphFont"/>
    <w:link w:val="PolicyHeading1NumberedBody"/>
    <w:rsid w:val="001C7C0B"/>
    <w:rPr>
      <w:rFonts w:ascii="Arial" w:hAnsi="Arial" w:cs="Times New Roman (Body CS)"/>
      <w:b/>
      <w:caps/>
    </w:rPr>
  </w:style>
  <w:style w:type="character" w:customStyle="1" w:styleId="PolicyHeading1UnnumberedBodyChar">
    <w:name w:val="Policy Heading1 Unnumbered Body Char"/>
    <w:basedOn w:val="PolicyHeading1NumberedBodyChar"/>
    <w:link w:val="PolicyHeading1UnnumberedBody"/>
    <w:rsid w:val="001C7C0B"/>
    <w:rPr>
      <w:rFonts w:ascii="Arial" w:hAnsi="Arial" w:cs="Times New Roman (Body CS)"/>
      <w:b/>
      <w:caps/>
    </w:rPr>
  </w:style>
  <w:style w:type="character" w:customStyle="1" w:styleId="PolicyBodyUnnumberedChar">
    <w:name w:val="Policy Body Unnumbered Char"/>
    <w:basedOn w:val="PolicyHeading1UnnumberedBodyChar"/>
    <w:link w:val="PolicyBodyUnnumbered"/>
    <w:rsid w:val="001C7C0B"/>
    <w:rPr>
      <w:rFonts w:ascii="Arial" w:hAnsi="Arial" w:cs="Times New Roman (Body CS)"/>
      <w:b w:val="0"/>
      <w:caps w:val="0"/>
    </w:rPr>
  </w:style>
  <w:style w:type="character" w:customStyle="1" w:styleId="PolicyBodyUnnumberedBoldChar">
    <w:name w:val="Policy Body Unnumbered Bold Char"/>
    <w:basedOn w:val="PolicyBodyUnnumberedChar"/>
    <w:link w:val="PolicyBodyUnnumberedBold"/>
    <w:rsid w:val="001C7C0B"/>
    <w:rPr>
      <w:rFonts w:ascii="Arial Bold" w:hAnsi="Arial Bold" w:cs="Times New Roman (Body CS)"/>
      <w:b/>
      <w:caps w:val="0"/>
    </w:rPr>
  </w:style>
  <w:style w:type="character" w:customStyle="1" w:styleId="PolicyBodyBulletsChar">
    <w:name w:val="Policy Body Bullets Char"/>
    <w:basedOn w:val="PolicyBodyUnnumberedChar"/>
    <w:link w:val="PolicyBodyBullets"/>
    <w:rsid w:val="008A393A"/>
    <w:rPr>
      <w:rFonts w:ascii="Arial" w:hAnsi="Arial" w:cs="Times New Roman (Body CS)"/>
      <w:b w:val="0"/>
      <w:caps w:val="0"/>
    </w:rPr>
  </w:style>
  <w:style w:type="character" w:customStyle="1" w:styleId="PolicyBodyBullets1Char">
    <w:name w:val="Policy Body Bullets1 Char"/>
    <w:basedOn w:val="PolicyBodyBulletsChar"/>
    <w:link w:val="PolicyBodyBullets1"/>
    <w:rsid w:val="00C41441"/>
    <w:rPr>
      <w:rFonts w:ascii="Arial" w:hAnsi="Arial" w:cs="Times New Roman (Body CS)"/>
      <w:b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84E4F"/>
    <w:rPr>
      <w:i/>
      <w:iCs/>
    </w:rPr>
  </w:style>
  <w:style w:type="paragraph" w:styleId="ListParagraph">
    <w:name w:val="List Paragraph"/>
    <w:basedOn w:val="Normal"/>
    <w:uiPriority w:val="34"/>
    <w:qFormat/>
    <w:rsid w:val="00A45632"/>
    <w:pPr>
      <w:ind w:left="720"/>
      <w:contextualSpacing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sourc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56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Mcpartland</dc:creator>
  <cp:keywords/>
  <dc:description/>
  <cp:lastModifiedBy>Kay McPartland</cp:lastModifiedBy>
  <cp:revision>12</cp:revision>
  <cp:lastPrinted>2020-06-03T00:51:00Z</cp:lastPrinted>
  <dcterms:created xsi:type="dcterms:W3CDTF">2021-09-11T01:40:00Z</dcterms:created>
  <dcterms:modified xsi:type="dcterms:W3CDTF">2021-10-16T04:02:00Z</dcterms:modified>
</cp:coreProperties>
</file>